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4D6" w:rsidRDefault="00523723">
      <w:bookmarkStart w:id="0" w:name="_GoBack"/>
      <w:bookmarkEnd w:id="0"/>
      <w:r>
        <w:rPr>
          <w:rFonts w:ascii="Arial" w:hAnsi="Arial"/>
          <w:b/>
          <w:color w:val="000080"/>
          <w:sz w:val="26"/>
        </w:rPr>
        <w:t>Policy Code: 6450 CONTRACT TRANSPORTATION</w:t>
      </w:r>
    </w:p>
    <w:p w:rsidR="006C74D6" w:rsidRDefault="00523723">
      <w:pPr>
        <w:spacing w:before="119" w:after="119"/>
      </w:pPr>
      <w:r>
        <w:rPr>
          <w:rFonts w:ascii="Arial" w:hAnsi="Arial"/>
          <w:sz w:val="24"/>
        </w:rPr>
        <w:t>To meet its student transportation needs, the Board may enter into private contracts with any person, firm or corporation for the transportation of students for any purpose for which the school system is authorized to operate public school buses in accordance with state law. The vehicles and drivers used under a private contract shall comply with all applicable state and federal laws and school board policies and regulations. The Superintendent may develop guidelines regarding the use of contract transportation.</w:t>
      </w:r>
    </w:p>
    <w:p w:rsidR="006C74D6" w:rsidRDefault="00523723">
      <w:pPr>
        <w:spacing w:before="119" w:after="119"/>
      </w:pPr>
      <w:r>
        <w:rPr>
          <w:rFonts w:ascii="Arial" w:hAnsi="Arial"/>
          <w:sz w:val="24"/>
        </w:rPr>
        <w:t xml:space="preserve">No contract may be entered into with a person or entity that is on the state treasurer's Final Divestment List or Iran Parent and Subsidiary Guidance list, except as permitted by </w:t>
      </w:r>
      <w:hyperlink r:id="rId4" w:history="1">
        <w:r>
          <w:rPr>
            <w:rStyle w:val="Hyperlink"/>
            <w:rFonts w:ascii="Arial" w:hAnsi="Arial"/>
            <w:sz w:val="24"/>
          </w:rPr>
          <w:t>G.S. 147, art. 6E</w:t>
        </w:r>
      </w:hyperlink>
      <w:r>
        <w:rPr>
          <w:rFonts w:ascii="Arial" w:hAnsi="Arial"/>
          <w:sz w:val="24"/>
        </w:rPr>
        <w:t>.</w:t>
      </w:r>
    </w:p>
    <w:p w:rsidR="006C74D6" w:rsidRDefault="00523723">
      <w:pPr>
        <w:spacing w:before="119" w:after="119"/>
      </w:pPr>
      <w:r>
        <w:rPr>
          <w:rFonts w:ascii="Arial" w:hAnsi="Arial"/>
          <w:sz w:val="24"/>
        </w:rPr>
        <w:t xml:space="preserve">LEGAL REF: </w:t>
      </w:r>
      <w:hyperlink r:id="rId5" w:history="1">
        <w:r>
          <w:rPr>
            <w:rStyle w:val="Hyperlink"/>
            <w:rFonts w:ascii="Arial" w:hAnsi="Arial"/>
            <w:sz w:val="24"/>
          </w:rPr>
          <w:t>49 U.S.C. 30125</w:t>
        </w:r>
      </w:hyperlink>
      <w:r>
        <w:rPr>
          <w:rFonts w:ascii="Arial" w:hAnsi="Arial"/>
          <w:sz w:val="24"/>
        </w:rPr>
        <w:t xml:space="preserve">, </w:t>
      </w:r>
      <w:hyperlink r:id="rId6" w:history="1">
        <w:r>
          <w:rPr>
            <w:rStyle w:val="Hyperlink"/>
            <w:rFonts w:ascii="Arial" w:hAnsi="Arial"/>
            <w:sz w:val="24"/>
          </w:rPr>
          <w:t>30165</w:t>
        </w:r>
      </w:hyperlink>
      <w:r>
        <w:rPr>
          <w:rFonts w:ascii="Arial" w:hAnsi="Arial"/>
          <w:sz w:val="24"/>
        </w:rPr>
        <w:t xml:space="preserve">; </w:t>
      </w:r>
      <w:hyperlink r:id="rId7" w:history="1">
        <w:r>
          <w:rPr>
            <w:rStyle w:val="Hyperlink"/>
            <w:rFonts w:ascii="Arial" w:hAnsi="Arial"/>
            <w:sz w:val="24"/>
          </w:rPr>
          <w:t>G.S. 115C-42</w:t>
        </w:r>
      </w:hyperlink>
      <w:r>
        <w:rPr>
          <w:rFonts w:ascii="Arial" w:hAnsi="Arial"/>
          <w:sz w:val="24"/>
        </w:rPr>
        <w:t xml:space="preserve">, </w:t>
      </w:r>
      <w:hyperlink r:id="rId8" w:history="1">
        <w:r>
          <w:rPr>
            <w:rStyle w:val="Hyperlink"/>
            <w:rFonts w:ascii="Arial" w:hAnsi="Arial"/>
            <w:sz w:val="24"/>
          </w:rPr>
          <w:t>-47</w:t>
        </w:r>
      </w:hyperlink>
      <w:r>
        <w:rPr>
          <w:rFonts w:ascii="Arial" w:hAnsi="Arial"/>
          <w:sz w:val="24"/>
        </w:rPr>
        <w:t xml:space="preserve">(25), </w:t>
      </w:r>
      <w:hyperlink r:id="rId9" w:history="1">
        <w:r>
          <w:rPr>
            <w:rStyle w:val="Hyperlink"/>
            <w:rFonts w:ascii="Arial" w:hAnsi="Arial"/>
            <w:sz w:val="24"/>
          </w:rPr>
          <w:t>-239</w:t>
        </w:r>
      </w:hyperlink>
      <w:r>
        <w:rPr>
          <w:rFonts w:ascii="Arial" w:hAnsi="Arial"/>
          <w:sz w:val="24"/>
        </w:rPr>
        <w:t xml:space="preserve">, </w:t>
      </w:r>
      <w:hyperlink r:id="rId10" w:history="1">
        <w:r>
          <w:rPr>
            <w:rStyle w:val="Hyperlink"/>
            <w:rFonts w:ascii="Arial" w:hAnsi="Arial"/>
            <w:sz w:val="24"/>
          </w:rPr>
          <w:t>-240</w:t>
        </w:r>
      </w:hyperlink>
      <w:r>
        <w:rPr>
          <w:rFonts w:ascii="Arial" w:hAnsi="Arial"/>
          <w:sz w:val="24"/>
        </w:rPr>
        <w:t xml:space="preserve">, </w:t>
      </w:r>
      <w:hyperlink r:id="rId11" w:history="1">
        <w:r>
          <w:rPr>
            <w:rStyle w:val="Hyperlink"/>
            <w:rFonts w:ascii="Arial" w:hAnsi="Arial"/>
            <w:sz w:val="24"/>
          </w:rPr>
          <w:t>-247</w:t>
        </w:r>
      </w:hyperlink>
      <w:r>
        <w:rPr>
          <w:rFonts w:ascii="Arial" w:hAnsi="Arial"/>
          <w:sz w:val="24"/>
        </w:rPr>
        <w:t xml:space="preserve">, </w:t>
      </w:r>
      <w:hyperlink r:id="rId12" w:history="1">
        <w:r>
          <w:rPr>
            <w:rStyle w:val="Hyperlink"/>
            <w:rFonts w:ascii="Arial" w:hAnsi="Arial"/>
            <w:sz w:val="24"/>
          </w:rPr>
          <w:t>-249</w:t>
        </w:r>
      </w:hyperlink>
      <w:r>
        <w:rPr>
          <w:rFonts w:ascii="Arial" w:hAnsi="Arial"/>
          <w:sz w:val="24"/>
        </w:rPr>
        <w:t xml:space="preserve">, </w:t>
      </w:r>
      <w:hyperlink r:id="rId13" w:history="1">
        <w:r>
          <w:rPr>
            <w:rStyle w:val="Hyperlink"/>
            <w:rFonts w:ascii="Arial" w:hAnsi="Arial"/>
            <w:sz w:val="24"/>
          </w:rPr>
          <w:t>-249.1</w:t>
        </w:r>
      </w:hyperlink>
      <w:r>
        <w:rPr>
          <w:rFonts w:ascii="Arial" w:hAnsi="Arial"/>
          <w:sz w:val="24"/>
        </w:rPr>
        <w:t xml:space="preserve">, </w:t>
      </w:r>
      <w:hyperlink r:id="rId14" w:history="1">
        <w:r>
          <w:rPr>
            <w:rStyle w:val="Hyperlink"/>
            <w:rFonts w:ascii="Arial" w:hAnsi="Arial"/>
            <w:sz w:val="24"/>
          </w:rPr>
          <w:t>-253</w:t>
        </w:r>
      </w:hyperlink>
      <w:r>
        <w:rPr>
          <w:rFonts w:ascii="Arial" w:hAnsi="Arial"/>
          <w:sz w:val="24"/>
        </w:rPr>
        <w:t xml:space="preserve">, </w:t>
      </w:r>
      <w:hyperlink r:id="rId15" w:history="1">
        <w:r>
          <w:rPr>
            <w:rStyle w:val="Hyperlink"/>
            <w:rFonts w:ascii="Arial" w:hAnsi="Arial"/>
            <w:sz w:val="24"/>
          </w:rPr>
          <w:t>-255</w:t>
        </w:r>
      </w:hyperlink>
      <w:r>
        <w:rPr>
          <w:rFonts w:ascii="Arial" w:hAnsi="Arial"/>
          <w:sz w:val="24"/>
        </w:rPr>
        <w:t xml:space="preserve">; </w:t>
      </w:r>
      <w:hyperlink r:id="rId16" w:history="1">
        <w:r>
          <w:rPr>
            <w:rStyle w:val="Hyperlink"/>
            <w:rFonts w:ascii="Arial" w:hAnsi="Arial"/>
            <w:sz w:val="24"/>
          </w:rPr>
          <w:t>147, art. 6E</w:t>
        </w:r>
      </w:hyperlink>
      <w:r>
        <w:rPr>
          <w:rFonts w:ascii="Arial" w:hAnsi="Arial"/>
          <w:sz w:val="24"/>
        </w:rPr>
        <w:t xml:space="preserve">; </w:t>
      </w:r>
      <w:r>
        <w:rPr>
          <w:rFonts w:ascii="Arial" w:hAnsi="Arial"/>
          <w:i/>
          <w:sz w:val="24"/>
        </w:rPr>
        <w:t>North Carolina School Transportation Fleet Manual</w:t>
      </w:r>
      <w:r>
        <w:rPr>
          <w:rFonts w:ascii="Arial" w:hAnsi="Arial"/>
          <w:sz w:val="24"/>
        </w:rPr>
        <w:t xml:space="preserve">, State Board of Education Policy </w:t>
      </w:r>
      <w:hyperlink r:id="rId17" w:history="1">
        <w:r>
          <w:rPr>
            <w:rStyle w:val="Hyperlink"/>
            <w:rFonts w:ascii="Arial" w:hAnsi="Arial"/>
            <w:sz w:val="24"/>
          </w:rPr>
          <w:t>TCS-H-005</w:t>
        </w:r>
      </w:hyperlink>
      <w:r>
        <w:rPr>
          <w:rFonts w:ascii="Arial" w:hAnsi="Arial"/>
          <w:sz w:val="24"/>
        </w:rPr>
        <w:t xml:space="preserve">; State Board of Education Policies </w:t>
      </w:r>
      <w:hyperlink r:id="rId18" w:history="1">
        <w:r w:rsidRPr="00523723">
          <w:rPr>
            <w:rStyle w:val="Hyperlink"/>
            <w:rFonts w:ascii="Arial" w:hAnsi="Arial"/>
            <w:strike/>
            <w:sz w:val="24"/>
          </w:rPr>
          <w:t>TCS-H-009</w:t>
        </w:r>
      </w:hyperlink>
      <w:r w:rsidRPr="00523723">
        <w:rPr>
          <w:rFonts w:ascii="Arial" w:hAnsi="Arial"/>
          <w:strike/>
          <w:sz w:val="24"/>
        </w:rPr>
        <w:t xml:space="preserve">, </w:t>
      </w:r>
      <w:hyperlink r:id="rId19" w:history="1">
        <w:r w:rsidRPr="00523723">
          <w:rPr>
            <w:rStyle w:val="Hyperlink"/>
            <w:rFonts w:ascii="Arial" w:hAnsi="Arial"/>
            <w:strike/>
            <w:sz w:val="24"/>
          </w:rPr>
          <w:t>-010</w:t>
        </w:r>
      </w:hyperlink>
      <w:r w:rsidRPr="00523723">
        <w:rPr>
          <w:rFonts w:ascii="Arial" w:hAnsi="Arial"/>
          <w:strike/>
          <w:sz w:val="24"/>
        </w:rPr>
        <w:t xml:space="preserve">, </w:t>
      </w:r>
      <w:hyperlink r:id="rId20" w:history="1">
        <w:r w:rsidRPr="00523723">
          <w:rPr>
            <w:rStyle w:val="Hyperlink"/>
            <w:rFonts w:ascii="Arial" w:hAnsi="Arial"/>
            <w:strike/>
            <w:sz w:val="24"/>
          </w:rPr>
          <w:t>-011</w:t>
        </w:r>
      </w:hyperlink>
      <w:r>
        <w:rPr>
          <w:rFonts w:ascii="Arial" w:hAnsi="Arial"/>
          <w:sz w:val="24"/>
        </w:rPr>
        <w:t xml:space="preserve"> </w:t>
      </w:r>
      <w:r w:rsidRPr="00523723">
        <w:rPr>
          <w:rFonts w:ascii="Arial" w:hAnsi="Arial"/>
          <w:sz w:val="24"/>
          <w:u w:val="double"/>
        </w:rPr>
        <w:t>TRAN-005, TRAN-009, TRAN-010, TRAN-011</w:t>
      </w:r>
      <w:r>
        <w:rPr>
          <w:rFonts w:ascii="Arial" w:hAnsi="Arial"/>
          <w:sz w:val="24"/>
        </w:rPr>
        <w:t>;</w:t>
      </w:r>
      <w:r>
        <w:rPr>
          <w:rFonts w:ascii="Arial" w:hAnsi="Arial"/>
          <w:i/>
          <w:sz w:val="24"/>
        </w:rPr>
        <w:t>School Charter Transportation Recommended Guidelines and Procedures</w:t>
      </w:r>
    </w:p>
    <w:p w:rsidR="006C74D6" w:rsidRDefault="00523723">
      <w:pPr>
        <w:spacing w:before="119" w:after="119"/>
      </w:pPr>
      <w:r>
        <w:rPr>
          <w:rFonts w:ascii="Arial" w:hAnsi="Arial"/>
          <w:sz w:val="24"/>
        </w:rPr>
        <w:t xml:space="preserve">CROSS REFERENCE: Purchase of Equipment, Materials, and Supplies (Policy </w:t>
      </w:r>
      <w:hyperlink r:id="rId21" w:history="1">
        <w:r>
          <w:rPr>
            <w:rStyle w:val="Hyperlink"/>
            <w:rFonts w:ascii="Arial" w:hAnsi="Arial"/>
            <w:sz w:val="24"/>
          </w:rPr>
          <w:t>6000</w:t>
        </w:r>
      </w:hyperlink>
      <w:r>
        <w:rPr>
          <w:rFonts w:ascii="Arial" w:hAnsi="Arial"/>
          <w:sz w:val="24"/>
        </w:rPr>
        <w:t xml:space="preserve">), Purchase Orders and Contracts (Policy </w:t>
      </w:r>
      <w:hyperlink r:id="rId22" w:history="1">
        <w:r>
          <w:rPr>
            <w:rStyle w:val="Hyperlink"/>
            <w:rFonts w:ascii="Arial" w:hAnsi="Arial"/>
            <w:sz w:val="24"/>
          </w:rPr>
          <w:t>6010</w:t>
        </w:r>
      </w:hyperlink>
      <w:r>
        <w:rPr>
          <w:rFonts w:ascii="Arial" w:hAnsi="Arial"/>
          <w:sz w:val="24"/>
        </w:rPr>
        <w:t>)</w:t>
      </w:r>
    </w:p>
    <w:p w:rsidR="006C74D6" w:rsidRDefault="00523723">
      <w:pPr>
        <w:spacing w:before="119" w:after="119"/>
      </w:pPr>
      <w:r>
        <w:rPr>
          <w:rFonts w:ascii="Arial" w:hAnsi="Arial"/>
          <w:sz w:val="24"/>
        </w:rPr>
        <w:t>ADOPTED: February 7, 2005</w:t>
      </w:r>
    </w:p>
    <w:p w:rsidR="006C74D6" w:rsidRDefault="00523723">
      <w:pPr>
        <w:spacing w:before="119" w:after="300"/>
      </w:pPr>
      <w:r>
        <w:rPr>
          <w:rFonts w:ascii="Arial" w:hAnsi="Arial"/>
          <w:sz w:val="24"/>
        </w:rPr>
        <w:t>AMENDED: January 5, 2015; June 7, 2016</w:t>
      </w:r>
    </w:p>
    <w:p w:rsidR="006C74D6" w:rsidRDefault="00523723">
      <w:pPr>
        <w:spacing w:before="750"/>
        <w:jc w:val="center"/>
      </w:pPr>
      <w:r>
        <w:rPr>
          <w:rFonts w:ascii="Arial" w:hAnsi="Arial"/>
          <w:b/>
          <w:color w:val="800000"/>
          <w:sz w:val="24"/>
        </w:rPr>
        <w:t>Edenton-Chowan Schools</w:t>
      </w:r>
    </w:p>
    <w:sectPr w:rsidR="006C7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D6"/>
    <w:rsid w:val="00523723"/>
    <w:rsid w:val="006C74D6"/>
    <w:rsid w:val="00D8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436B4-4975-42EE-885D-7AC1EC8B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15c&amp;spec=47" TargetMode="External"/><Relationship Id="rId13" Type="http://schemas.openxmlformats.org/officeDocument/2006/relationships/hyperlink" Target="http://redirector.microscribepub.com/?cat=stat&amp;loc=nc&amp;id=115c&amp;spec=249.1" TargetMode="External"/><Relationship Id="rId18" Type="http://schemas.openxmlformats.org/officeDocument/2006/relationships/hyperlink" Target="http://redirector.microscribepub.com/?cat=pol&amp;loc=nc&amp;id=tran-009&amp;" TargetMode="External"/><Relationship Id="rId3" Type="http://schemas.openxmlformats.org/officeDocument/2006/relationships/webSettings" Target="webSettings.xml"/><Relationship Id="rId21" Type="http://schemas.openxmlformats.org/officeDocument/2006/relationships/hyperlink" Target="https://boardpolicyonline.com/bl/?b=edenton_chowan&amp;s=147621" TargetMode="External"/><Relationship Id="rId7" Type="http://schemas.openxmlformats.org/officeDocument/2006/relationships/hyperlink" Target="http://redirector.microscribepub.com/?cat=stat&amp;loc=nc&amp;id=115c&amp;spec=42" TargetMode="External"/><Relationship Id="rId12" Type="http://schemas.openxmlformats.org/officeDocument/2006/relationships/hyperlink" Target="http://redirector.microscribepub.com/?cat=stat&amp;loc=nc&amp;id=115c&amp;spec=249" TargetMode="External"/><Relationship Id="rId17" Type="http://schemas.openxmlformats.org/officeDocument/2006/relationships/hyperlink" Target="http://redirector.microscribepub.com/?cat=pol&amp;loc=nc&amp;id=tran-005&amp;" TargetMode="External"/><Relationship Id="rId2" Type="http://schemas.openxmlformats.org/officeDocument/2006/relationships/settings" Target="settings.xml"/><Relationship Id="rId16" Type="http://schemas.openxmlformats.org/officeDocument/2006/relationships/hyperlink" Target="http://redirector.microscribepub.com/?cat=stat&amp;loc=nc&amp;id=147&amp;spec=A6E" TargetMode="External"/><Relationship Id="rId20" Type="http://schemas.openxmlformats.org/officeDocument/2006/relationships/hyperlink" Target="http://redirector.microscribepub.com/?cat=pol&amp;loc=nc&amp;id=tran-011&amp;" TargetMode="External"/><Relationship Id="rId1" Type="http://schemas.openxmlformats.org/officeDocument/2006/relationships/styles" Target="styles.xml"/><Relationship Id="rId6" Type="http://schemas.openxmlformats.org/officeDocument/2006/relationships/hyperlink" Target="http://policy.microscribepub.com/redirector/?loc=us&amp;cat=usc&amp;id=49-30165" TargetMode="External"/><Relationship Id="rId11" Type="http://schemas.openxmlformats.org/officeDocument/2006/relationships/hyperlink" Target="http://redirector.microscribepub.com/?cat=stat&amp;loc=nc&amp;id=115c&amp;spec=247" TargetMode="External"/><Relationship Id="rId24" Type="http://schemas.openxmlformats.org/officeDocument/2006/relationships/theme" Target="theme/theme1.xml"/><Relationship Id="rId5" Type="http://schemas.openxmlformats.org/officeDocument/2006/relationships/hyperlink" Target="http://policy.microscribepub.com/redirector/?loc=us&amp;cat=usc&amp;id=49-30125" TargetMode="External"/><Relationship Id="rId15" Type="http://schemas.openxmlformats.org/officeDocument/2006/relationships/hyperlink" Target="http://redirector.microscribepub.com/?cat=stat&amp;loc=nc&amp;id=115c&amp;spec=255" TargetMode="External"/><Relationship Id="rId23" Type="http://schemas.openxmlformats.org/officeDocument/2006/relationships/fontTable" Target="fontTable.xml"/><Relationship Id="rId10" Type="http://schemas.openxmlformats.org/officeDocument/2006/relationships/hyperlink" Target="http://redirector.microscribepub.com/?cat=stat&amp;loc=nc&amp;id=115c&amp;spec=240" TargetMode="External"/><Relationship Id="rId19" Type="http://schemas.openxmlformats.org/officeDocument/2006/relationships/hyperlink" Target="http://redirector.microscribepub.com/?cat=pol&amp;loc=nc&amp;id=tran-010&amp;" TargetMode="External"/><Relationship Id="rId4" Type="http://schemas.openxmlformats.org/officeDocument/2006/relationships/hyperlink" Target="http://redirector.microscribepub.com/?cat=stat&amp;loc=nc&amp;id=147&amp;spec=A6E" TargetMode="External"/><Relationship Id="rId9" Type="http://schemas.openxmlformats.org/officeDocument/2006/relationships/hyperlink" Target="http://redirector.microscribepub.com/?cat=stat&amp;loc=nc&amp;id=115c&amp;spec=239" TargetMode="External"/><Relationship Id="rId14" Type="http://schemas.openxmlformats.org/officeDocument/2006/relationships/hyperlink" Target="http://redirector.microscribepub.com/?cat=stat&amp;loc=nc&amp;id=115c&amp;spec=253" TargetMode="External"/><Relationship Id="rId22" Type="http://schemas.openxmlformats.org/officeDocument/2006/relationships/hyperlink" Target="https://boardpolicyonline.com/bl/?b=edenton_chowan&amp;s=147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2017-07-28T14:53:00Z</dcterms:created>
  <dcterms:modified xsi:type="dcterms:W3CDTF">2017-07-28T14:53:00Z</dcterms:modified>
</cp:coreProperties>
</file>