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2E" w:rsidRDefault="00794F3C">
      <w:pPr>
        <w:pStyle w:val="NormalWeb"/>
        <w:rPr>
          <w:rFonts w:ascii="Arial" w:hAnsi="Arial" w:cs="Arial"/>
          <w:b/>
          <w:color w:val="000080"/>
          <w:sz w:val="27"/>
        </w:rPr>
      </w:pPr>
      <w:r>
        <w:rPr>
          <w:rFonts w:ascii="Arial" w:hAnsi="Arial" w:cs="Arial"/>
          <w:b/>
          <w:color w:val="000080"/>
          <w:sz w:val="27"/>
        </w:rPr>
        <w:t>Policy Code: 4215 WEAPONS, BOMB THREATS, TERRORIST THREATS, AND CLEAR THREATS TO SAFETY</w:t>
      </w:r>
    </w:p>
    <w:p w:rsidR="00F04F2E" w:rsidRDefault="00794F3C">
      <w:pPr>
        <w:pStyle w:val="NormalWeb"/>
        <w:rPr>
          <w:rFonts w:ascii="Arial" w:hAnsi="Arial" w:cs="Arial"/>
        </w:rPr>
      </w:pPr>
      <w:r>
        <w:rPr>
          <w:rFonts w:ascii="Arial" w:hAnsi="Arial" w:cs="Arial"/>
        </w:rPr>
        <w:t xml:space="preserve">The board will not tolerate the presence of weapons or destructive devices, bomb or terrorist threats, or actions that constitute a clear threat to the safety of </w:t>
      </w:r>
      <w:r>
        <w:rPr>
          <w:rFonts w:ascii="Arial" w:hAnsi="Arial" w:cs="Arial"/>
        </w:rPr>
        <w:t>students or employees. Any student who violates this policy will be removed from the classroom or school environment for as long as is necessary to provide a safe and orderly environment for learning.</w:t>
      </w:r>
    </w:p>
    <w:p w:rsidR="00F04F2E" w:rsidRDefault="00794F3C">
      <w:pPr>
        <w:pStyle w:val="NormalWeb"/>
        <w:rPr>
          <w:rFonts w:ascii="Arial" w:hAnsi="Arial" w:cs="Arial"/>
        </w:rPr>
      </w:pPr>
      <w:r>
        <w:rPr>
          <w:rFonts w:ascii="Arial" w:hAnsi="Arial" w:cs="Arial"/>
        </w:rPr>
        <w:t>A. PROHIBITED BEHAVIOR</w:t>
      </w:r>
    </w:p>
    <w:p w:rsidR="00F04F2E" w:rsidRDefault="00794F3C">
      <w:pPr>
        <w:pStyle w:val="NormalWeb"/>
        <w:rPr>
          <w:rFonts w:ascii="Arial" w:hAnsi="Arial" w:cs="Arial"/>
        </w:rPr>
      </w:pPr>
      <w:r>
        <w:rPr>
          <w:rFonts w:ascii="Arial" w:hAnsi="Arial" w:cs="Arial"/>
        </w:rPr>
        <w:t>1. Weapons and Weapon-Like Items</w:t>
      </w:r>
    </w:p>
    <w:p w:rsidR="00F04F2E" w:rsidRDefault="00794F3C">
      <w:pPr>
        <w:pStyle w:val="NormalWeb"/>
        <w:rPr>
          <w:rFonts w:ascii="Arial" w:hAnsi="Arial" w:cs="Arial"/>
        </w:rPr>
      </w:pPr>
      <w:r>
        <w:rPr>
          <w:rFonts w:ascii="Arial" w:hAnsi="Arial" w:cs="Arial"/>
        </w:rPr>
        <w:t>Students are prohibited from possessing, handling, using or transmitting, whether concealed or open, any weapon or any instrument that reasonably looks like a weapon or could be used as a weapon. Weapons include, but are not limited to the following:</w:t>
      </w:r>
    </w:p>
    <w:p w:rsidR="00F04F2E" w:rsidRDefault="00794F3C">
      <w:pPr>
        <w:pStyle w:val="NormalWeb"/>
        <w:rPr>
          <w:rFonts w:ascii="Arial" w:hAnsi="Arial" w:cs="Arial"/>
        </w:rPr>
      </w:pPr>
      <w:r>
        <w:rPr>
          <w:rFonts w:ascii="Arial" w:hAnsi="Arial" w:cs="Arial"/>
        </w:rPr>
        <w:t>a. l</w:t>
      </w:r>
      <w:r>
        <w:rPr>
          <w:rFonts w:ascii="Arial" w:hAnsi="Arial" w:cs="Arial"/>
        </w:rPr>
        <w:t>oaded and unloaded firearms, including guns, pistols, and rifles;</w:t>
      </w:r>
    </w:p>
    <w:p w:rsidR="00F04F2E" w:rsidRDefault="00794F3C">
      <w:pPr>
        <w:pStyle w:val="NormalWeb"/>
        <w:rPr>
          <w:rFonts w:ascii="Arial" w:hAnsi="Arial" w:cs="Arial"/>
        </w:rPr>
      </w:pPr>
      <w:r>
        <w:rPr>
          <w:rFonts w:ascii="Arial" w:hAnsi="Arial" w:cs="Arial"/>
        </w:rPr>
        <w:t>b. destructive devices, as described in subsection B.2 of this policy, including explosives, such as dynamite cartridges, bombs, grenades, and mines;</w:t>
      </w:r>
    </w:p>
    <w:p w:rsidR="00F04F2E" w:rsidRDefault="00794F3C">
      <w:pPr>
        <w:pStyle w:val="NormalWeb"/>
        <w:rPr>
          <w:rFonts w:ascii="Arial" w:hAnsi="Arial" w:cs="Arial"/>
        </w:rPr>
      </w:pPr>
      <w:r>
        <w:rPr>
          <w:rFonts w:ascii="Arial" w:hAnsi="Arial" w:cs="Arial"/>
        </w:rPr>
        <w:t>c. knives, including pocket knives, bowi</w:t>
      </w:r>
      <w:r>
        <w:rPr>
          <w:rFonts w:ascii="Arial" w:hAnsi="Arial" w:cs="Arial"/>
        </w:rPr>
        <w:t>e knives, switchblades, dirks, and daggers;</w:t>
      </w:r>
    </w:p>
    <w:p w:rsidR="00F04F2E" w:rsidRDefault="00794F3C">
      <w:pPr>
        <w:pStyle w:val="NormalWeb"/>
        <w:rPr>
          <w:rFonts w:ascii="Arial" w:hAnsi="Arial" w:cs="Arial"/>
        </w:rPr>
      </w:pPr>
      <w:r>
        <w:rPr>
          <w:rFonts w:ascii="Arial" w:hAnsi="Arial" w:cs="Arial"/>
        </w:rPr>
        <w:t xml:space="preserve">d. slingshots and </w:t>
      </w:r>
      <w:proofErr w:type="spellStart"/>
      <w:r>
        <w:rPr>
          <w:rFonts w:ascii="Arial" w:hAnsi="Arial" w:cs="Arial"/>
        </w:rPr>
        <w:t>slungshots</w:t>
      </w:r>
      <w:proofErr w:type="spellEnd"/>
      <w:r>
        <w:rPr>
          <w:rFonts w:ascii="Arial" w:hAnsi="Arial" w:cs="Arial"/>
        </w:rPr>
        <w:t>;</w:t>
      </w:r>
    </w:p>
    <w:p w:rsidR="00F04F2E" w:rsidRDefault="00794F3C">
      <w:pPr>
        <w:pStyle w:val="NormalWeb"/>
        <w:rPr>
          <w:rFonts w:ascii="Arial" w:hAnsi="Arial" w:cs="Arial"/>
        </w:rPr>
      </w:pPr>
      <w:r>
        <w:rPr>
          <w:rFonts w:ascii="Arial" w:hAnsi="Arial" w:cs="Arial"/>
        </w:rPr>
        <w:t>e. leaded canes;</w:t>
      </w:r>
    </w:p>
    <w:p w:rsidR="00F04F2E" w:rsidRDefault="00794F3C">
      <w:pPr>
        <w:pStyle w:val="NormalWeb"/>
        <w:rPr>
          <w:rFonts w:ascii="Arial" w:hAnsi="Arial" w:cs="Arial"/>
        </w:rPr>
      </w:pPr>
      <w:r>
        <w:rPr>
          <w:rFonts w:ascii="Arial" w:hAnsi="Arial" w:cs="Arial"/>
        </w:rPr>
        <w:t>f. blackjacks;</w:t>
      </w:r>
    </w:p>
    <w:p w:rsidR="00F04F2E" w:rsidRDefault="00794F3C">
      <w:pPr>
        <w:pStyle w:val="NormalWeb"/>
        <w:rPr>
          <w:rFonts w:ascii="Arial" w:hAnsi="Arial" w:cs="Arial"/>
        </w:rPr>
      </w:pPr>
      <w:r>
        <w:rPr>
          <w:rFonts w:ascii="Arial" w:hAnsi="Arial" w:cs="Arial"/>
        </w:rPr>
        <w:t>g. metal knuckles;</w:t>
      </w:r>
    </w:p>
    <w:p w:rsidR="00F04F2E" w:rsidRDefault="00794F3C">
      <w:pPr>
        <w:pStyle w:val="NormalWeb"/>
        <w:rPr>
          <w:rFonts w:ascii="Arial" w:hAnsi="Arial" w:cs="Arial"/>
        </w:rPr>
      </w:pPr>
      <w:r>
        <w:rPr>
          <w:rFonts w:ascii="Arial" w:hAnsi="Arial" w:cs="Arial"/>
        </w:rPr>
        <w:t>h. BB guns;</w:t>
      </w:r>
    </w:p>
    <w:p w:rsidR="00F04F2E" w:rsidRDefault="00794F3C">
      <w:pPr>
        <w:pStyle w:val="NormalWeb"/>
        <w:rPr>
          <w:rFonts w:ascii="Arial" w:hAnsi="Arial" w:cs="Arial"/>
        </w:rPr>
      </w:pPr>
      <w:proofErr w:type="spellStart"/>
      <w:r>
        <w:rPr>
          <w:rFonts w:ascii="Arial" w:hAnsi="Arial" w:cs="Arial"/>
        </w:rPr>
        <w:t>i</w:t>
      </w:r>
      <w:proofErr w:type="spellEnd"/>
      <w:r>
        <w:rPr>
          <w:rFonts w:ascii="Arial" w:hAnsi="Arial" w:cs="Arial"/>
        </w:rPr>
        <w:t>. air rifles and air pistols;</w:t>
      </w:r>
    </w:p>
    <w:p w:rsidR="00F04F2E" w:rsidRDefault="00794F3C">
      <w:pPr>
        <w:pStyle w:val="NormalWeb"/>
        <w:rPr>
          <w:rFonts w:ascii="Arial" w:hAnsi="Arial" w:cs="Arial"/>
        </w:rPr>
      </w:pPr>
      <w:r>
        <w:rPr>
          <w:rFonts w:ascii="Arial" w:hAnsi="Arial" w:cs="Arial"/>
        </w:rPr>
        <w:t xml:space="preserve">j. stun guns and other electric shock weapons, such as </w:t>
      </w:r>
      <w:proofErr w:type="spellStart"/>
      <w:r>
        <w:rPr>
          <w:rFonts w:ascii="Arial" w:hAnsi="Arial" w:cs="Arial"/>
        </w:rPr>
        <w:t>tasers</w:t>
      </w:r>
      <w:proofErr w:type="spellEnd"/>
      <w:r>
        <w:rPr>
          <w:rFonts w:ascii="Arial" w:hAnsi="Arial" w:cs="Arial"/>
        </w:rPr>
        <w:t>;</w:t>
      </w:r>
    </w:p>
    <w:p w:rsidR="00F04F2E" w:rsidRDefault="00794F3C">
      <w:pPr>
        <w:pStyle w:val="NormalWeb"/>
        <w:rPr>
          <w:rFonts w:ascii="Arial" w:hAnsi="Arial" w:cs="Arial"/>
        </w:rPr>
      </w:pPr>
      <w:r>
        <w:rPr>
          <w:rFonts w:ascii="Arial" w:hAnsi="Arial" w:cs="Arial"/>
        </w:rPr>
        <w:t>k. icepicks;</w:t>
      </w:r>
    </w:p>
    <w:p w:rsidR="00F04F2E" w:rsidRDefault="00794F3C">
      <w:pPr>
        <w:pStyle w:val="NormalWeb"/>
        <w:rPr>
          <w:rFonts w:ascii="Arial" w:hAnsi="Arial" w:cs="Arial"/>
        </w:rPr>
      </w:pPr>
      <w:r>
        <w:rPr>
          <w:rFonts w:ascii="Arial" w:hAnsi="Arial" w:cs="Arial"/>
        </w:rPr>
        <w:t>l. razors an</w:t>
      </w:r>
      <w:r>
        <w:rPr>
          <w:rFonts w:ascii="Arial" w:hAnsi="Arial" w:cs="Arial"/>
        </w:rPr>
        <w:t>d razor blades (except those designed and used solely for personal shaving);</w:t>
      </w:r>
    </w:p>
    <w:p w:rsidR="00F04F2E" w:rsidRDefault="00794F3C">
      <w:pPr>
        <w:pStyle w:val="NormalWeb"/>
        <w:rPr>
          <w:rFonts w:ascii="Arial" w:hAnsi="Arial" w:cs="Arial"/>
        </w:rPr>
      </w:pPr>
      <w:r>
        <w:rPr>
          <w:rFonts w:ascii="Arial" w:hAnsi="Arial" w:cs="Arial"/>
        </w:rPr>
        <w:t>m. fireworks;</w:t>
      </w:r>
    </w:p>
    <w:p w:rsidR="00F04F2E" w:rsidRDefault="00794F3C">
      <w:pPr>
        <w:pStyle w:val="NormalWeb"/>
        <w:rPr>
          <w:rFonts w:ascii="Arial" w:hAnsi="Arial" w:cs="Arial"/>
        </w:rPr>
      </w:pPr>
      <w:r>
        <w:rPr>
          <w:rFonts w:ascii="Arial" w:hAnsi="Arial" w:cs="Arial"/>
        </w:rPr>
        <w:t>n. gun powder, ammunition, or bullets;</w:t>
      </w:r>
    </w:p>
    <w:p w:rsidR="00F04F2E" w:rsidRDefault="00794F3C">
      <w:pPr>
        <w:pStyle w:val="NormalWeb"/>
        <w:rPr>
          <w:rFonts w:ascii="Arial" w:hAnsi="Arial" w:cs="Arial"/>
        </w:rPr>
      </w:pPr>
      <w:r>
        <w:rPr>
          <w:rFonts w:ascii="Arial" w:hAnsi="Arial" w:cs="Arial"/>
        </w:rPr>
        <w:lastRenderedPageBreak/>
        <w:t>o. any sharp pointed or edged instruments except unaltered nail files and clips and tools used solely for preparation of food,</w:t>
      </w:r>
      <w:r>
        <w:rPr>
          <w:rFonts w:ascii="Arial" w:hAnsi="Arial" w:cs="Arial"/>
        </w:rPr>
        <w:t xml:space="preserve"> instruction, and maintenance; and</w:t>
      </w:r>
    </w:p>
    <w:p w:rsidR="00F04F2E" w:rsidRDefault="00794F3C">
      <w:pPr>
        <w:pStyle w:val="NormalWeb"/>
        <w:rPr>
          <w:rFonts w:ascii="Arial" w:hAnsi="Arial" w:cs="Arial"/>
        </w:rPr>
      </w:pPr>
      <w:r>
        <w:rPr>
          <w:rFonts w:ascii="Arial" w:hAnsi="Arial" w:cs="Arial"/>
        </w:rPr>
        <w:t>p. mace, pepper spray, and other personal defense sprays.</w:t>
      </w:r>
    </w:p>
    <w:p w:rsidR="00F04F2E" w:rsidRDefault="00794F3C">
      <w:pPr>
        <w:pStyle w:val="NormalWeb"/>
        <w:rPr>
          <w:rFonts w:ascii="Arial" w:hAnsi="Arial" w:cs="Arial"/>
        </w:rPr>
      </w:pPr>
      <w:r>
        <w:rPr>
          <w:rFonts w:ascii="Arial" w:hAnsi="Arial" w:cs="Arial"/>
        </w:rPr>
        <w:t>Examples of other objects that may be considered weapons are box cutters and other types of utility blades and blowguns.</w:t>
      </w:r>
    </w:p>
    <w:p w:rsidR="00F04F2E" w:rsidRDefault="00794F3C">
      <w:pPr>
        <w:pStyle w:val="NormalWeb"/>
        <w:rPr>
          <w:rFonts w:ascii="Arial" w:hAnsi="Arial" w:cs="Arial"/>
        </w:rPr>
      </w:pPr>
      <w:r>
        <w:rPr>
          <w:rFonts w:ascii="Arial" w:hAnsi="Arial" w:cs="Arial"/>
        </w:rPr>
        <w:t>No student may knowingly or willfully caus</w:t>
      </w:r>
      <w:r>
        <w:rPr>
          <w:rFonts w:ascii="Arial" w:hAnsi="Arial" w:cs="Arial"/>
        </w:rPr>
        <w:t>e, encourage, or aid another student to possess, handle, or use any of the weapons or weapon-like items listed above. A student who finds a weapon or weapon-like item, who witnesses another student or other person with such an item, or who becomes aware th</w:t>
      </w:r>
      <w:r>
        <w:rPr>
          <w:rFonts w:ascii="Arial" w:hAnsi="Arial" w:cs="Arial"/>
        </w:rPr>
        <w:t>at another student or other person intends to possess, handle, or use such an item must notify a teacher or the principal immediately.</w:t>
      </w:r>
    </w:p>
    <w:p w:rsidR="00F04F2E" w:rsidRDefault="00794F3C">
      <w:pPr>
        <w:pStyle w:val="NormalWeb"/>
        <w:rPr>
          <w:rFonts w:ascii="Arial" w:hAnsi="Arial" w:cs="Arial"/>
        </w:rPr>
      </w:pPr>
      <w:r>
        <w:rPr>
          <w:rFonts w:ascii="Arial" w:hAnsi="Arial" w:cs="Arial"/>
        </w:rPr>
        <w:t>This section does not apply to board-approved and -authorized activities for which the board has adopted appropriate safe</w:t>
      </w:r>
      <w:r>
        <w:rPr>
          <w:rFonts w:ascii="Arial" w:hAnsi="Arial" w:cs="Arial"/>
        </w:rPr>
        <w:t>guards to protect student safety.</w:t>
      </w:r>
    </w:p>
    <w:p w:rsidR="00F04F2E" w:rsidRDefault="00794F3C">
      <w:pPr>
        <w:pStyle w:val="NormalWeb"/>
        <w:rPr>
          <w:rFonts w:ascii="Arial" w:hAnsi="Arial" w:cs="Arial"/>
        </w:rPr>
      </w:pPr>
      <w:r>
        <w:rPr>
          <w:rFonts w:ascii="Arial" w:hAnsi="Arial" w:cs="Arial"/>
        </w:rPr>
        <w:t>2. Bomb Threats</w:t>
      </w:r>
    </w:p>
    <w:p w:rsidR="00F04F2E" w:rsidRDefault="00794F3C">
      <w:pPr>
        <w:pStyle w:val="NormalWeb"/>
        <w:rPr>
          <w:rFonts w:ascii="Arial" w:hAnsi="Arial" w:cs="Arial"/>
        </w:rPr>
      </w:pPr>
      <w:r>
        <w:rPr>
          <w:rFonts w:ascii="Arial" w:hAnsi="Arial" w:cs="Arial"/>
        </w:rPr>
        <w:t>Students are prohibited from making, aiding, and/or abetting in making a bomb threat or perpetrating a bomb hoax against school system property by making a false report that a device designed to cause damag</w:t>
      </w:r>
      <w:r>
        <w:rPr>
          <w:rFonts w:ascii="Arial" w:hAnsi="Arial" w:cs="Arial"/>
        </w:rPr>
        <w:t>e or destruction by explosion, blasting, or burning is located on school property.</w:t>
      </w:r>
    </w:p>
    <w:p w:rsidR="00F04F2E" w:rsidRDefault="00794F3C">
      <w:pPr>
        <w:pStyle w:val="NormalWeb"/>
        <w:rPr>
          <w:rFonts w:ascii="Arial" w:hAnsi="Arial" w:cs="Arial"/>
        </w:rPr>
      </w:pPr>
      <w:r>
        <w:rPr>
          <w:rFonts w:ascii="Arial" w:hAnsi="Arial" w:cs="Arial"/>
        </w:rPr>
        <w:t>No student may knowingly or willfully cause, encourage, or aid another student to make a bomb threat or perpetrate a bomb hoax. Any student who becomes aware that another st</w:t>
      </w:r>
      <w:r>
        <w:rPr>
          <w:rFonts w:ascii="Arial" w:hAnsi="Arial" w:cs="Arial"/>
        </w:rPr>
        <w:t>udent or other person intends to use a bomb, make a bomb threat, or perpetrate a bomb hoax must notify a teacher or the principal immediately.</w:t>
      </w:r>
    </w:p>
    <w:p w:rsidR="00F04F2E" w:rsidRDefault="00794F3C">
      <w:pPr>
        <w:pStyle w:val="NormalWeb"/>
        <w:rPr>
          <w:rFonts w:ascii="Arial" w:hAnsi="Arial" w:cs="Arial"/>
        </w:rPr>
      </w:pPr>
      <w:r>
        <w:rPr>
          <w:rFonts w:ascii="Arial" w:hAnsi="Arial" w:cs="Arial"/>
        </w:rPr>
        <w:t>3. Terrorist Threats</w:t>
      </w:r>
    </w:p>
    <w:p w:rsidR="00F04F2E" w:rsidRDefault="00794F3C">
      <w:pPr>
        <w:pStyle w:val="NormalWeb"/>
        <w:rPr>
          <w:rFonts w:ascii="Arial" w:hAnsi="Arial" w:cs="Arial"/>
        </w:rPr>
      </w:pPr>
      <w:r>
        <w:rPr>
          <w:rFonts w:ascii="Arial" w:hAnsi="Arial" w:cs="Arial"/>
        </w:rPr>
        <w:t>Students are prohibited from making, aiding, conspiring, and/or abetting in making a terrori</w:t>
      </w:r>
      <w:r>
        <w:rPr>
          <w:rFonts w:ascii="Arial" w:hAnsi="Arial" w:cs="Arial"/>
        </w:rPr>
        <w:t>st threat or perpetrating a terrorist hoax against school system property by making a false report that a device, substance, or material designed to cause harmful or life-threatening injury to another person is located on school property or at a school eve</w:t>
      </w:r>
      <w:r>
        <w:rPr>
          <w:rFonts w:ascii="Arial" w:hAnsi="Arial" w:cs="Arial"/>
        </w:rPr>
        <w:t>nt.</w:t>
      </w:r>
    </w:p>
    <w:p w:rsidR="00F04F2E" w:rsidRDefault="00794F3C">
      <w:pPr>
        <w:pStyle w:val="NormalWeb"/>
        <w:rPr>
          <w:rFonts w:ascii="Arial" w:hAnsi="Arial" w:cs="Arial"/>
        </w:rPr>
      </w:pPr>
      <w:r>
        <w:rPr>
          <w:rFonts w:ascii="Arial" w:hAnsi="Arial" w:cs="Arial"/>
        </w:rPr>
        <w:t>No student may knowingly or willfully cause, encourage, or aid another student to make a terrorist threat or perpetrate a terrorist hoax. Any student who becomes aware that another student or other person intends to use a device, substance, or material</w:t>
      </w:r>
      <w:r>
        <w:rPr>
          <w:rFonts w:ascii="Arial" w:hAnsi="Arial" w:cs="Arial"/>
        </w:rPr>
        <w:t xml:space="preserve"> designed to cause harmful or life-threatening illness or injury to another person, make a terrorist threat, or perpetrate a terrorist hoax must notify a teacher or the principal immediately.</w:t>
      </w:r>
    </w:p>
    <w:p w:rsidR="00F04F2E" w:rsidRDefault="00794F3C">
      <w:pPr>
        <w:pStyle w:val="NormalWeb"/>
        <w:rPr>
          <w:rFonts w:ascii="Arial" w:hAnsi="Arial" w:cs="Arial"/>
        </w:rPr>
      </w:pPr>
      <w:r>
        <w:rPr>
          <w:rFonts w:ascii="Arial" w:hAnsi="Arial" w:cs="Arial"/>
        </w:rPr>
        <w:t>4. Clear Threats to Student and Employee Safety</w:t>
      </w:r>
    </w:p>
    <w:p w:rsidR="00F04F2E" w:rsidRDefault="00794F3C">
      <w:pPr>
        <w:pStyle w:val="NormalWeb"/>
        <w:rPr>
          <w:rFonts w:ascii="Arial" w:hAnsi="Arial" w:cs="Arial"/>
        </w:rPr>
      </w:pPr>
      <w:r>
        <w:rPr>
          <w:rFonts w:ascii="Arial" w:hAnsi="Arial" w:cs="Arial"/>
        </w:rPr>
        <w:lastRenderedPageBreak/>
        <w:t>Students are pro</w:t>
      </w:r>
      <w:r>
        <w:rPr>
          <w:rFonts w:ascii="Arial" w:hAnsi="Arial" w:cs="Arial"/>
        </w:rPr>
        <w:t>hibited from engaging in behavior that constitutes a clear threat to the safety of other students or employees. Behavior constituting a clear threat to the safety of others includes, but is not limited to:</w:t>
      </w:r>
    </w:p>
    <w:p w:rsidR="00F04F2E" w:rsidRDefault="00794F3C">
      <w:pPr>
        <w:pStyle w:val="NormalWeb"/>
        <w:rPr>
          <w:rFonts w:ascii="Arial" w:hAnsi="Arial" w:cs="Arial"/>
        </w:rPr>
      </w:pPr>
      <w:r>
        <w:rPr>
          <w:rFonts w:ascii="Arial" w:hAnsi="Arial" w:cs="Arial"/>
        </w:rPr>
        <w:t>a. theft or attempted theft by a student from anot</w:t>
      </w:r>
      <w:r>
        <w:rPr>
          <w:rFonts w:ascii="Arial" w:hAnsi="Arial" w:cs="Arial"/>
        </w:rPr>
        <w:t>her person by using or threatening to use a weapon;</w:t>
      </w:r>
    </w:p>
    <w:p w:rsidR="00F04F2E" w:rsidRDefault="00794F3C">
      <w:pPr>
        <w:pStyle w:val="NormalWeb"/>
        <w:rPr>
          <w:rFonts w:ascii="Arial" w:hAnsi="Arial" w:cs="Arial"/>
        </w:rPr>
      </w:pPr>
      <w:r>
        <w:rPr>
          <w:rFonts w:ascii="Arial" w:hAnsi="Arial" w:cs="Arial"/>
        </w:rPr>
        <w:t>b. the intentional and malicious burning of any structure or personal property, including any vehicle;</w:t>
      </w:r>
    </w:p>
    <w:p w:rsidR="00F04F2E" w:rsidRDefault="00794F3C">
      <w:pPr>
        <w:pStyle w:val="NormalWeb"/>
        <w:rPr>
          <w:rFonts w:ascii="Arial" w:hAnsi="Arial" w:cs="Arial"/>
        </w:rPr>
      </w:pPr>
      <w:r>
        <w:rPr>
          <w:rFonts w:ascii="Arial" w:hAnsi="Arial" w:cs="Arial"/>
        </w:rPr>
        <w:t>c. an attack or threatened attack by a student against another person wherein the student uses a weap</w:t>
      </w:r>
      <w:r>
        <w:rPr>
          <w:rFonts w:ascii="Arial" w:hAnsi="Arial" w:cs="Arial"/>
        </w:rPr>
        <w:t>on or displays a weapon in a manner found threatening to that person;</w:t>
      </w:r>
    </w:p>
    <w:p w:rsidR="00F04F2E" w:rsidRDefault="00794F3C">
      <w:pPr>
        <w:pStyle w:val="NormalWeb"/>
        <w:rPr>
          <w:rFonts w:ascii="Arial" w:hAnsi="Arial" w:cs="Arial"/>
        </w:rPr>
      </w:pPr>
      <w:r>
        <w:rPr>
          <w:rFonts w:ascii="Arial" w:hAnsi="Arial" w:cs="Arial"/>
        </w:rPr>
        <w:t>d. an attack by a student on any employee, adult volunteer, or other student that does not result in serious injury but that is intended to cause or reasonably could cause serious injury</w:t>
      </w:r>
      <w:r>
        <w:rPr>
          <w:rFonts w:ascii="Arial" w:hAnsi="Arial" w:cs="Arial"/>
        </w:rPr>
        <w:t>;</w:t>
      </w:r>
    </w:p>
    <w:p w:rsidR="00F04F2E" w:rsidRDefault="00794F3C">
      <w:pPr>
        <w:pStyle w:val="NormalWeb"/>
        <w:rPr>
          <w:rFonts w:ascii="Arial" w:hAnsi="Arial" w:cs="Arial"/>
        </w:rPr>
      </w:pPr>
      <w:r>
        <w:rPr>
          <w:rFonts w:ascii="Arial" w:hAnsi="Arial" w:cs="Arial"/>
        </w:rPr>
        <w:t>e. an attack by a student on another person whereby the victim suffers obvious severe or aggravated bodily injury, such as broken bones, loss of teeth, possible internal injuries, laceration requiring stitches, loss of consciousness, or significant bruis</w:t>
      </w:r>
      <w:r>
        <w:rPr>
          <w:rFonts w:ascii="Arial" w:hAnsi="Arial" w:cs="Arial"/>
        </w:rPr>
        <w:t>ing or pain; or whereby the victim requires hospitalization or treatment in a hospital emergency room as a result of the attack;</w:t>
      </w:r>
    </w:p>
    <w:p w:rsidR="00F04F2E" w:rsidRDefault="00794F3C">
      <w:pPr>
        <w:pStyle w:val="NormalWeb"/>
        <w:rPr>
          <w:rFonts w:ascii="Arial" w:hAnsi="Arial" w:cs="Arial"/>
        </w:rPr>
      </w:pPr>
      <w:r>
        <w:rPr>
          <w:rFonts w:ascii="Arial" w:hAnsi="Arial" w:cs="Arial"/>
        </w:rPr>
        <w:t>f. any intentional, highly reckless, or negligent act that results in the death of another person;</w:t>
      </w:r>
    </w:p>
    <w:p w:rsidR="00F04F2E" w:rsidRDefault="00794F3C">
      <w:pPr>
        <w:pStyle w:val="NormalWeb"/>
        <w:rPr>
          <w:rFonts w:ascii="Arial" w:hAnsi="Arial" w:cs="Arial"/>
        </w:rPr>
      </w:pPr>
      <w:r>
        <w:rPr>
          <w:rFonts w:ascii="Arial" w:hAnsi="Arial" w:cs="Arial"/>
        </w:rPr>
        <w:t>g. confining, restraining, o</w:t>
      </w:r>
      <w:r>
        <w:rPr>
          <w:rFonts w:ascii="Arial" w:hAnsi="Arial" w:cs="Arial"/>
        </w:rPr>
        <w:t>r removing another person from one place to another, without the victim's consent or the consent of the victim's parent, for the purpose of committing a felony or for the purpose of holding the victim as a hostage, for ransom, or for use as a shield;</w:t>
      </w:r>
    </w:p>
    <w:p w:rsidR="00F04F2E" w:rsidRDefault="00794F3C">
      <w:pPr>
        <w:pStyle w:val="NormalWeb"/>
        <w:rPr>
          <w:rFonts w:ascii="Arial" w:hAnsi="Arial" w:cs="Arial"/>
        </w:rPr>
      </w:pPr>
      <w:r>
        <w:rPr>
          <w:rFonts w:ascii="Arial" w:hAnsi="Arial" w:cs="Arial"/>
        </w:rPr>
        <w:t>h. th</w:t>
      </w:r>
      <w:r>
        <w:rPr>
          <w:rFonts w:ascii="Arial" w:hAnsi="Arial" w:cs="Arial"/>
        </w:rPr>
        <w:t>e possession of a weapon on any school property, including in a vehicle, with the intent to use or transmit for another's use or possession in a reckless manner so that harm is reasonably foreseeable;</w:t>
      </w:r>
    </w:p>
    <w:p w:rsidR="00F04F2E" w:rsidRDefault="00794F3C">
      <w:pPr>
        <w:pStyle w:val="NormalWeb"/>
        <w:rPr>
          <w:rFonts w:ascii="Arial" w:hAnsi="Arial" w:cs="Arial"/>
        </w:rPr>
      </w:pPr>
      <w:proofErr w:type="spellStart"/>
      <w:r>
        <w:rPr>
          <w:rFonts w:ascii="Arial" w:hAnsi="Arial" w:cs="Arial"/>
        </w:rPr>
        <w:t>i</w:t>
      </w:r>
      <w:proofErr w:type="spellEnd"/>
      <w:r>
        <w:rPr>
          <w:rFonts w:ascii="Arial" w:hAnsi="Arial" w:cs="Arial"/>
        </w:rPr>
        <w:t xml:space="preserve">. taking or attempting to take anything of value from </w:t>
      </w:r>
      <w:r>
        <w:rPr>
          <w:rFonts w:ascii="Arial" w:hAnsi="Arial" w:cs="Arial"/>
        </w:rPr>
        <w:t>the care, custody, or control of another person or persons, by force, threat of force, or violence, or by putting the victim in fear;</w:t>
      </w:r>
    </w:p>
    <w:p w:rsidR="00F04F2E" w:rsidRDefault="00794F3C">
      <w:pPr>
        <w:pStyle w:val="NormalWeb"/>
        <w:rPr>
          <w:rFonts w:ascii="Arial" w:hAnsi="Arial" w:cs="Arial"/>
        </w:rPr>
      </w:pPr>
      <w:r>
        <w:rPr>
          <w:rFonts w:ascii="Arial" w:hAnsi="Arial" w:cs="Arial"/>
        </w:rPr>
        <w:t>j. any unauthorized and unwanted intentional touching, or attempt to touch, by one person of the sex organ of another, inc</w:t>
      </w:r>
      <w:r>
        <w:rPr>
          <w:rFonts w:ascii="Arial" w:hAnsi="Arial" w:cs="Arial"/>
        </w:rPr>
        <w:t>luding the breasts of the female and the genital areas of the male and female;</w:t>
      </w:r>
    </w:p>
    <w:p w:rsidR="00F04F2E" w:rsidRDefault="00794F3C">
      <w:pPr>
        <w:pStyle w:val="NormalWeb"/>
        <w:rPr>
          <w:rFonts w:ascii="Arial" w:hAnsi="Arial" w:cs="Arial"/>
        </w:rPr>
      </w:pPr>
      <w:r>
        <w:rPr>
          <w:rFonts w:ascii="Arial" w:hAnsi="Arial" w:cs="Arial"/>
        </w:rPr>
        <w:t>k. the possession, manufacture, sale, or delivery, or any attempted sale or delivery, of a controlled substance in violation of Chapter 90 of the North Carolina General Statutes</w:t>
      </w:r>
      <w:r>
        <w:rPr>
          <w:rFonts w:ascii="Arial" w:hAnsi="Arial" w:cs="Arial"/>
        </w:rPr>
        <w:t>;</w:t>
      </w:r>
    </w:p>
    <w:p w:rsidR="00F04F2E" w:rsidRDefault="00794F3C">
      <w:pPr>
        <w:pStyle w:val="NormalWeb"/>
        <w:rPr>
          <w:rFonts w:ascii="Arial" w:hAnsi="Arial" w:cs="Arial"/>
        </w:rPr>
      </w:pPr>
      <w:r>
        <w:rPr>
          <w:rFonts w:ascii="Arial" w:hAnsi="Arial" w:cs="Arial"/>
        </w:rPr>
        <w:lastRenderedPageBreak/>
        <w:t>l. any behavior resulting in a felony conviction on a weapons, drug, assault, or other charge that implicates the safety of other persons; and</w:t>
      </w:r>
    </w:p>
    <w:p w:rsidR="00F04F2E" w:rsidRDefault="00794F3C">
      <w:pPr>
        <w:pStyle w:val="NormalWeb"/>
        <w:rPr>
          <w:rFonts w:ascii="Arial" w:hAnsi="Arial" w:cs="Arial"/>
        </w:rPr>
      </w:pPr>
      <w:r>
        <w:rPr>
          <w:rFonts w:ascii="Arial" w:hAnsi="Arial" w:cs="Arial"/>
        </w:rPr>
        <w:t>m. any other behavior that demonstrates a clear threat to the safety of others in the school environment.</w:t>
      </w:r>
    </w:p>
    <w:p w:rsidR="00F04F2E" w:rsidRDefault="00794F3C">
      <w:pPr>
        <w:pStyle w:val="NormalWeb"/>
        <w:rPr>
          <w:rFonts w:ascii="Arial" w:hAnsi="Arial" w:cs="Arial"/>
        </w:rPr>
      </w:pPr>
      <w:r>
        <w:rPr>
          <w:rFonts w:ascii="Arial" w:hAnsi="Arial" w:cs="Arial"/>
        </w:rPr>
        <w:t>B. CO</w:t>
      </w:r>
      <w:r>
        <w:rPr>
          <w:rFonts w:ascii="Arial" w:hAnsi="Arial" w:cs="Arial"/>
        </w:rPr>
        <w:t>NSEQUENCES</w:t>
      </w:r>
    </w:p>
    <w:p w:rsidR="00F04F2E" w:rsidRDefault="00794F3C">
      <w:pPr>
        <w:pStyle w:val="NormalWeb"/>
        <w:rPr>
          <w:rFonts w:ascii="Arial" w:hAnsi="Arial" w:cs="Arial"/>
        </w:rPr>
      </w:pPr>
      <w:r>
        <w:rPr>
          <w:rFonts w:ascii="Arial" w:hAnsi="Arial" w:cs="Arial"/>
        </w:rPr>
        <w:t>1. General Consequences</w:t>
      </w:r>
    </w:p>
    <w:p w:rsidR="00F04F2E" w:rsidRDefault="00794F3C">
      <w:pPr>
        <w:pStyle w:val="NormalWeb"/>
        <w:rPr>
          <w:rFonts w:ascii="Arial" w:hAnsi="Arial" w:cs="Arial"/>
        </w:rPr>
      </w:pPr>
      <w:r>
        <w:rPr>
          <w:rFonts w:ascii="Arial" w:hAnsi="Arial" w:cs="Arial"/>
        </w:rPr>
        <w:t>The disciplinary consequences for violations of this policy shall be consistent with policy 4210, Code of Student Conduct. The superintendent or designee shall list in the Code of Student Conduct the specific range of con</w:t>
      </w:r>
      <w:r>
        <w:rPr>
          <w:rFonts w:ascii="Arial" w:hAnsi="Arial" w:cs="Arial"/>
        </w:rPr>
        <w:t>sequences that may be imposed on a student for violations of this policy.</w:t>
      </w:r>
    </w:p>
    <w:p w:rsidR="00F04F2E" w:rsidRDefault="00794F3C">
      <w:pPr>
        <w:pStyle w:val="NormalWeb"/>
        <w:rPr>
          <w:rFonts w:ascii="Arial" w:hAnsi="Arial" w:cs="Arial"/>
        </w:rPr>
      </w:pPr>
      <w:r>
        <w:rPr>
          <w:rFonts w:ascii="Arial" w:hAnsi="Arial" w:cs="Arial"/>
        </w:rPr>
        <w:t>2. Specific Consequences Mandated by Law</w:t>
      </w:r>
    </w:p>
    <w:p w:rsidR="00F04F2E" w:rsidRDefault="00794F3C">
      <w:pPr>
        <w:pStyle w:val="NormalWeb"/>
        <w:rPr>
          <w:rFonts w:ascii="Arial" w:hAnsi="Arial" w:cs="Arial"/>
        </w:rPr>
      </w:pPr>
      <w:r>
        <w:rPr>
          <w:rFonts w:ascii="Arial" w:hAnsi="Arial" w:cs="Arial"/>
        </w:rPr>
        <w:t xml:space="preserve">As required by law, a student who brings or possesses a firearm or destructive device on school property or at a school-sponsored event must </w:t>
      </w:r>
      <w:r>
        <w:rPr>
          <w:rFonts w:ascii="Arial" w:hAnsi="Arial" w:cs="Arial"/>
        </w:rPr>
        <w:t>be suspended for 365 days, unless the superintendent modifies, in writing, the required 365-day suspension for an individual student on a case-by-case basis. The superintendent shall not impose a 365-day suspension if the superintendent determines that the</w:t>
      </w:r>
      <w:r>
        <w:rPr>
          <w:rFonts w:ascii="Arial" w:hAnsi="Arial" w:cs="Arial"/>
        </w:rPr>
        <w:t xml:space="preserve"> student (1) took or received the firearm or destructive device from another person at school or found the firearm or destructive device at school, (2) delivered or reported the firearm or destructive device as soon as practicable to a law enforcement offi</w:t>
      </w:r>
      <w:r>
        <w:rPr>
          <w:rFonts w:ascii="Arial" w:hAnsi="Arial" w:cs="Arial"/>
        </w:rPr>
        <w:t>cer or school personnel, and (3) had no intent to use the firearm or destructive device in a harmful or threatening way.</w:t>
      </w:r>
    </w:p>
    <w:p w:rsidR="00F04F2E" w:rsidRDefault="00794F3C">
      <w:pPr>
        <w:pStyle w:val="NormalWeb"/>
        <w:rPr>
          <w:rFonts w:ascii="Arial" w:hAnsi="Arial" w:cs="Arial"/>
        </w:rPr>
      </w:pPr>
      <w:r>
        <w:rPr>
          <w:rFonts w:ascii="Arial" w:hAnsi="Arial" w:cs="Arial"/>
        </w:rPr>
        <w:t>For the purpose of this subsection, a firearm is (1) a weapon, including a starter gun that will, is designed to, or may readily be con</w:t>
      </w:r>
      <w:r>
        <w:rPr>
          <w:rFonts w:ascii="Arial" w:hAnsi="Arial" w:cs="Arial"/>
        </w:rPr>
        <w:t>verted to expel a projectile by the action of an explosive, (2) the frame or receiver of any such weapon, or (3) any firearm muffler or firearm silencer. A firearm does not include an inoperable antique firearm, a BB gun, a stun gun, an air rifle, or an ai</w:t>
      </w:r>
      <w:r>
        <w:rPr>
          <w:rFonts w:ascii="Arial" w:hAnsi="Arial" w:cs="Arial"/>
        </w:rPr>
        <w:t>r pistol. For the purposes of this subsection, a destructive device is an explosive, incendiary, or poison gas (1) bomb, (2) grenade, (3) rocket having a propellant charge of more than four ounces, (4) missile having an explosive or incendiary charge of mo</w:t>
      </w:r>
      <w:r>
        <w:rPr>
          <w:rFonts w:ascii="Arial" w:hAnsi="Arial" w:cs="Arial"/>
        </w:rPr>
        <w:t>re than one-quarter ounce, (5) mine, or (6) similar device.</w:t>
      </w:r>
    </w:p>
    <w:p w:rsidR="00F04F2E" w:rsidRDefault="00794F3C">
      <w:pPr>
        <w:pStyle w:val="NormalWeb"/>
        <w:rPr>
          <w:rFonts w:ascii="Arial" w:hAnsi="Arial" w:cs="Arial"/>
        </w:rPr>
      </w:pPr>
      <w:r>
        <w:rPr>
          <w:rFonts w:ascii="Arial" w:hAnsi="Arial" w:cs="Arial"/>
        </w:rPr>
        <w:t>A student may not be suspended for 365 days for a weapons violation except in accordance with this subsection.</w:t>
      </w:r>
    </w:p>
    <w:p w:rsidR="00F04F2E" w:rsidRDefault="00794F3C">
      <w:pPr>
        <w:pStyle w:val="NormalWeb"/>
        <w:rPr>
          <w:rFonts w:ascii="Arial" w:hAnsi="Arial" w:cs="Arial"/>
        </w:rPr>
      </w:pPr>
      <w:r>
        <w:rPr>
          <w:rFonts w:ascii="Arial" w:hAnsi="Arial" w:cs="Arial"/>
        </w:rPr>
        <w:t xml:space="preserve">Legal References: Gun-Free Schools Act, </w:t>
      </w:r>
      <w:hyperlink r:id="rId4" w:history="1">
        <w:r>
          <w:rPr>
            <w:rStyle w:val="Hyperlink"/>
            <w:rFonts w:ascii="Arial" w:hAnsi="Arial" w:cs="Arial"/>
          </w:rPr>
          <w:t>20 U.S.C. 7961</w:t>
        </w:r>
      </w:hyperlink>
      <w:r>
        <w:rPr>
          <w:rFonts w:ascii="Arial" w:hAnsi="Arial" w:cs="Arial"/>
        </w:rPr>
        <w:t xml:space="preserve">; </w:t>
      </w:r>
      <w:hyperlink r:id="rId5" w:history="1">
        <w:r>
          <w:rPr>
            <w:rStyle w:val="Hyperlink"/>
            <w:rFonts w:ascii="Arial" w:hAnsi="Arial" w:cs="Arial"/>
          </w:rPr>
          <w:t>G.S. 14-17</w:t>
        </w:r>
      </w:hyperlink>
      <w:r>
        <w:rPr>
          <w:rFonts w:ascii="Arial" w:hAnsi="Arial" w:cs="Arial"/>
        </w:rPr>
        <w:t xml:space="preserve">, </w:t>
      </w:r>
      <w:hyperlink r:id="rId6" w:history="1">
        <w:r>
          <w:rPr>
            <w:rStyle w:val="Hyperlink"/>
            <w:rFonts w:ascii="Arial" w:hAnsi="Arial" w:cs="Arial"/>
          </w:rPr>
          <w:t>-18</w:t>
        </w:r>
      </w:hyperlink>
      <w:r>
        <w:rPr>
          <w:rFonts w:ascii="Arial" w:hAnsi="Arial" w:cs="Arial"/>
        </w:rPr>
        <w:t xml:space="preserve">, </w:t>
      </w:r>
      <w:hyperlink r:id="rId7" w:history="1">
        <w:r>
          <w:rPr>
            <w:rStyle w:val="Hyperlink"/>
            <w:rFonts w:ascii="Arial" w:hAnsi="Arial" w:cs="Arial"/>
          </w:rPr>
          <w:t>-27.2 through -27.5A</w:t>
        </w:r>
      </w:hyperlink>
      <w:r>
        <w:rPr>
          <w:rFonts w:ascii="Arial" w:hAnsi="Arial" w:cs="Arial"/>
        </w:rPr>
        <w:t xml:space="preserve">, </w:t>
      </w:r>
      <w:hyperlink r:id="rId8" w:history="1">
        <w:r>
          <w:rPr>
            <w:rStyle w:val="Hyperlink"/>
            <w:rFonts w:ascii="Arial" w:hAnsi="Arial" w:cs="Arial"/>
          </w:rPr>
          <w:t>-32</w:t>
        </w:r>
      </w:hyperlink>
      <w:r>
        <w:rPr>
          <w:rFonts w:ascii="Arial" w:hAnsi="Arial" w:cs="Arial"/>
        </w:rPr>
        <w:t xml:space="preserve">, </w:t>
      </w:r>
      <w:hyperlink r:id="rId9" w:history="1">
        <w:r>
          <w:rPr>
            <w:rStyle w:val="Hyperlink"/>
            <w:rFonts w:ascii="Arial" w:hAnsi="Arial" w:cs="Arial"/>
          </w:rPr>
          <w:t>-33</w:t>
        </w:r>
      </w:hyperlink>
      <w:r>
        <w:rPr>
          <w:rFonts w:ascii="Arial" w:hAnsi="Arial" w:cs="Arial"/>
        </w:rPr>
        <w:t xml:space="preserve">, </w:t>
      </w:r>
      <w:hyperlink r:id="rId10" w:history="1">
        <w:r>
          <w:rPr>
            <w:rStyle w:val="Hyperlink"/>
            <w:rFonts w:ascii="Arial" w:hAnsi="Arial" w:cs="Arial"/>
          </w:rPr>
          <w:t>-34 through -34.2</w:t>
        </w:r>
      </w:hyperlink>
      <w:r>
        <w:rPr>
          <w:rFonts w:ascii="Arial" w:hAnsi="Arial" w:cs="Arial"/>
        </w:rPr>
        <w:t xml:space="preserve">, </w:t>
      </w:r>
      <w:hyperlink r:id="rId11" w:history="1">
        <w:r>
          <w:rPr>
            <w:rStyle w:val="Hyperlink"/>
            <w:rFonts w:ascii="Arial" w:hAnsi="Arial" w:cs="Arial"/>
          </w:rPr>
          <w:t>-41</w:t>
        </w:r>
      </w:hyperlink>
      <w:r>
        <w:rPr>
          <w:rFonts w:ascii="Arial" w:hAnsi="Arial" w:cs="Arial"/>
        </w:rPr>
        <w:t xml:space="preserve">, </w:t>
      </w:r>
      <w:hyperlink r:id="rId12" w:history="1">
        <w:r>
          <w:rPr>
            <w:rStyle w:val="Hyperlink"/>
            <w:rFonts w:ascii="Arial" w:hAnsi="Arial" w:cs="Arial"/>
          </w:rPr>
          <w:t>-60</w:t>
        </w:r>
      </w:hyperlink>
      <w:r>
        <w:rPr>
          <w:rFonts w:ascii="Arial" w:hAnsi="Arial" w:cs="Arial"/>
        </w:rPr>
        <w:t xml:space="preserve">, </w:t>
      </w:r>
      <w:hyperlink r:id="rId13" w:history="1">
        <w:r>
          <w:rPr>
            <w:rStyle w:val="Hyperlink"/>
            <w:rFonts w:ascii="Arial" w:hAnsi="Arial" w:cs="Arial"/>
          </w:rPr>
          <w:t>-69.1</w:t>
        </w:r>
      </w:hyperlink>
      <w:r>
        <w:rPr>
          <w:rFonts w:ascii="Arial" w:hAnsi="Arial" w:cs="Arial"/>
        </w:rPr>
        <w:t xml:space="preserve">, </w:t>
      </w:r>
      <w:hyperlink r:id="rId14" w:history="1">
        <w:r>
          <w:rPr>
            <w:rStyle w:val="Hyperlink"/>
            <w:rFonts w:ascii="Arial" w:hAnsi="Arial" w:cs="Arial"/>
          </w:rPr>
          <w:t>-69.2</w:t>
        </w:r>
      </w:hyperlink>
      <w:r>
        <w:rPr>
          <w:rFonts w:ascii="Arial" w:hAnsi="Arial" w:cs="Arial"/>
        </w:rPr>
        <w:t xml:space="preserve">, </w:t>
      </w:r>
      <w:hyperlink r:id="rId15" w:history="1">
        <w:r>
          <w:rPr>
            <w:rStyle w:val="Hyperlink"/>
            <w:rFonts w:ascii="Arial" w:hAnsi="Arial" w:cs="Arial"/>
          </w:rPr>
          <w:t>-87</w:t>
        </w:r>
      </w:hyperlink>
      <w:r>
        <w:rPr>
          <w:rFonts w:ascii="Arial" w:hAnsi="Arial" w:cs="Arial"/>
        </w:rPr>
        <w:t xml:space="preserve">, </w:t>
      </w:r>
      <w:hyperlink r:id="rId16" w:history="1">
        <w:r>
          <w:rPr>
            <w:rStyle w:val="Hyperlink"/>
            <w:rFonts w:ascii="Arial" w:hAnsi="Arial" w:cs="Arial"/>
          </w:rPr>
          <w:t>-87.1</w:t>
        </w:r>
      </w:hyperlink>
      <w:r>
        <w:rPr>
          <w:rFonts w:ascii="Arial" w:hAnsi="Arial" w:cs="Arial"/>
        </w:rPr>
        <w:t xml:space="preserve">, </w:t>
      </w:r>
      <w:hyperlink r:id="rId17" w:history="1">
        <w:r>
          <w:rPr>
            <w:rStyle w:val="Hyperlink"/>
            <w:rFonts w:ascii="Arial" w:hAnsi="Arial" w:cs="Arial"/>
          </w:rPr>
          <w:t>-132</w:t>
        </w:r>
      </w:hyperlink>
      <w:r>
        <w:rPr>
          <w:rFonts w:ascii="Arial" w:hAnsi="Arial" w:cs="Arial"/>
        </w:rPr>
        <w:t xml:space="preserve">, </w:t>
      </w:r>
      <w:hyperlink r:id="rId18" w:history="1">
        <w:r>
          <w:rPr>
            <w:rStyle w:val="Hyperlink"/>
            <w:rFonts w:ascii="Arial" w:hAnsi="Arial" w:cs="Arial"/>
          </w:rPr>
          <w:t>-132.2</w:t>
        </w:r>
      </w:hyperlink>
      <w:r>
        <w:rPr>
          <w:rFonts w:ascii="Arial" w:hAnsi="Arial" w:cs="Arial"/>
        </w:rPr>
        <w:t xml:space="preserve">, </w:t>
      </w:r>
      <w:hyperlink r:id="rId19" w:history="1">
        <w:r>
          <w:rPr>
            <w:rStyle w:val="Hyperlink"/>
            <w:rFonts w:ascii="Arial" w:hAnsi="Arial" w:cs="Arial"/>
          </w:rPr>
          <w:t>-202.2</w:t>
        </w:r>
      </w:hyperlink>
      <w:r>
        <w:rPr>
          <w:rFonts w:ascii="Arial" w:hAnsi="Arial" w:cs="Arial"/>
        </w:rPr>
        <w:t xml:space="preserve">, </w:t>
      </w:r>
      <w:hyperlink r:id="rId20" w:history="1">
        <w:r>
          <w:rPr>
            <w:rStyle w:val="Hyperlink"/>
            <w:rFonts w:ascii="Arial" w:hAnsi="Arial" w:cs="Arial"/>
          </w:rPr>
          <w:t>-208.18</w:t>
        </w:r>
      </w:hyperlink>
      <w:r>
        <w:rPr>
          <w:rFonts w:ascii="Arial" w:hAnsi="Arial" w:cs="Arial"/>
        </w:rPr>
        <w:t xml:space="preserve">, </w:t>
      </w:r>
      <w:hyperlink r:id="rId21" w:history="1">
        <w:r>
          <w:rPr>
            <w:rStyle w:val="Hyperlink"/>
            <w:rFonts w:ascii="Arial" w:hAnsi="Arial" w:cs="Arial"/>
          </w:rPr>
          <w:t>-269.2</w:t>
        </w:r>
      </w:hyperlink>
      <w:r>
        <w:rPr>
          <w:rFonts w:ascii="Arial" w:hAnsi="Arial" w:cs="Arial"/>
        </w:rPr>
        <w:t xml:space="preserve">, </w:t>
      </w:r>
      <w:hyperlink r:id="rId22" w:history="1">
        <w:r>
          <w:rPr>
            <w:rStyle w:val="Hyperlink"/>
            <w:rFonts w:ascii="Arial" w:hAnsi="Arial" w:cs="Arial"/>
          </w:rPr>
          <w:t>-277.5</w:t>
        </w:r>
      </w:hyperlink>
      <w:r>
        <w:rPr>
          <w:rFonts w:ascii="Arial" w:hAnsi="Arial" w:cs="Arial"/>
        </w:rPr>
        <w:t>;</w:t>
      </w:r>
      <w:r>
        <w:rPr>
          <w:rFonts w:ascii="Arial" w:hAnsi="Arial" w:cs="Arial"/>
          <w:u w:val="double"/>
        </w:rPr>
        <w:t xml:space="preserve"> -277.6;</w:t>
      </w:r>
      <w:bookmarkStart w:id="0" w:name="_GoBack"/>
      <w:bookmarkEnd w:id="0"/>
      <w:r>
        <w:rPr>
          <w:rFonts w:ascii="Arial" w:hAnsi="Arial" w:cs="Arial"/>
        </w:rPr>
        <w:t xml:space="preserve"> </w:t>
      </w:r>
      <w:hyperlink r:id="rId23" w:history="1">
        <w:proofErr w:type="spellStart"/>
        <w:r>
          <w:rPr>
            <w:rStyle w:val="Hyperlink"/>
            <w:rFonts w:ascii="Arial" w:hAnsi="Arial" w:cs="Arial"/>
          </w:rPr>
          <w:t>ch.</w:t>
        </w:r>
        <w:proofErr w:type="spellEnd"/>
        <w:r>
          <w:rPr>
            <w:rStyle w:val="Hyperlink"/>
            <w:rFonts w:ascii="Arial" w:hAnsi="Arial" w:cs="Arial"/>
          </w:rPr>
          <w:t xml:space="preserve"> 90 art. 5</w:t>
        </w:r>
      </w:hyperlink>
      <w:r>
        <w:rPr>
          <w:rFonts w:ascii="Arial" w:hAnsi="Arial" w:cs="Arial"/>
        </w:rPr>
        <w:t xml:space="preserve">; </w:t>
      </w:r>
      <w:hyperlink r:id="rId24" w:history="1">
        <w:r>
          <w:rPr>
            <w:rStyle w:val="Hyperlink"/>
            <w:rFonts w:ascii="Arial" w:hAnsi="Arial" w:cs="Arial"/>
          </w:rPr>
          <w:t>115C-47</w:t>
        </w:r>
      </w:hyperlink>
      <w:r>
        <w:rPr>
          <w:rFonts w:ascii="Arial" w:hAnsi="Arial" w:cs="Arial"/>
        </w:rPr>
        <w:t>,</w:t>
      </w:r>
      <w:r w:rsidR="002E1588">
        <w:rPr>
          <w:rFonts w:ascii="Arial" w:hAnsi="Arial" w:cs="Arial"/>
          <w:u w:val="double"/>
        </w:rPr>
        <w:t xml:space="preserve"> -105.51,</w:t>
      </w:r>
      <w:r>
        <w:rPr>
          <w:rFonts w:ascii="Arial" w:hAnsi="Arial" w:cs="Arial"/>
        </w:rPr>
        <w:t xml:space="preserve"> </w:t>
      </w:r>
      <w:hyperlink r:id="rId25" w:history="1">
        <w:r>
          <w:rPr>
            <w:rStyle w:val="Hyperlink"/>
            <w:rFonts w:ascii="Arial" w:hAnsi="Arial" w:cs="Arial"/>
          </w:rPr>
          <w:t>-276</w:t>
        </w:r>
      </w:hyperlink>
      <w:r>
        <w:rPr>
          <w:rFonts w:ascii="Arial" w:hAnsi="Arial" w:cs="Arial"/>
        </w:rPr>
        <w:t xml:space="preserve">(r), </w:t>
      </w:r>
      <w:hyperlink r:id="rId26" w:history="1">
        <w:r>
          <w:rPr>
            <w:rStyle w:val="Hyperlink"/>
            <w:rFonts w:ascii="Arial" w:hAnsi="Arial" w:cs="Arial"/>
          </w:rPr>
          <w:t>-288</w:t>
        </w:r>
      </w:hyperlink>
      <w:r>
        <w:rPr>
          <w:rFonts w:ascii="Arial" w:hAnsi="Arial" w:cs="Arial"/>
        </w:rPr>
        <w:t xml:space="preserve">, </w:t>
      </w:r>
      <w:hyperlink r:id="rId27" w:history="1">
        <w:r>
          <w:rPr>
            <w:rStyle w:val="Hyperlink"/>
            <w:rFonts w:ascii="Arial" w:hAnsi="Arial" w:cs="Arial"/>
          </w:rPr>
          <w:t>-307</w:t>
        </w:r>
      </w:hyperlink>
      <w:r>
        <w:rPr>
          <w:rFonts w:ascii="Arial" w:hAnsi="Arial" w:cs="Arial"/>
        </w:rPr>
        <w:t xml:space="preserve">, </w:t>
      </w:r>
      <w:hyperlink r:id="rId28" w:history="1">
        <w:r>
          <w:rPr>
            <w:rStyle w:val="Hyperlink"/>
            <w:rFonts w:ascii="Arial" w:hAnsi="Arial" w:cs="Arial"/>
          </w:rPr>
          <w:t>-390</w:t>
        </w:r>
        <w:r>
          <w:rPr>
            <w:rStyle w:val="Hyperlink"/>
            <w:rFonts w:ascii="Arial" w:hAnsi="Arial" w:cs="Arial"/>
          </w:rPr>
          <w:t>.1</w:t>
        </w:r>
      </w:hyperlink>
      <w:r>
        <w:rPr>
          <w:rFonts w:ascii="Arial" w:hAnsi="Arial" w:cs="Arial"/>
        </w:rPr>
        <w:t xml:space="preserve">, </w:t>
      </w:r>
      <w:hyperlink r:id="rId29" w:history="1">
        <w:r>
          <w:rPr>
            <w:rStyle w:val="Hyperlink"/>
            <w:rFonts w:ascii="Arial" w:hAnsi="Arial" w:cs="Arial"/>
          </w:rPr>
          <w:t>-390.2</w:t>
        </w:r>
      </w:hyperlink>
      <w:r>
        <w:rPr>
          <w:rFonts w:ascii="Arial" w:hAnsi="Arial" w:cs="Arial"/>
        </w:rPr>
        <w:t xml:space="preserve">, </w:t>
      </w:r>
      <w:hyperlink r:id="rId30" w:history="1">
        <w:r>
          <w:rPr>
            <w:rStyle w:val="Hyperlink"/>
            <w:rFonts w:ascii="Arial" w:hAnsi="Arial" w:cs="Arial"/>
          </w:rPr>
          <w:t>-390.10</w:t>
        </w:r>
      </w:hyperlink>
    </w:p>
    <w:p w:rsidR="00F04F2E" w:rsidRDefault="00794F3C">
      <w:pPr>
        <w:pStyle w:val="NormalWeb"/>
        <w:rPr>
          <w:rFonts w:ascii="Arial" w:hAnsi="Arial" w:cs="Arial"/>
        </w:rPr>
      </w:pPr>
      <w:r>
        <w:rPr>
          <w:rFonts w:ascii="Arial" w:hAnsi="Arial" w:cs="Arial"/>
        </w:rPr>
        <w:t>Cross References: Code of Student Conduct (policy 4210</w:t>
      </w:r>
      <w:r>
        <w:rPr>
          <w:rFonts w:ascii="Arial" w:hAnsi="Arial" w:cs="Arial"/>
        </w:rPr>
        <w:t>); Weapons Prohibited on School Property (policy 5165)</w:t>
      </w:r>
    </w:p>
    <w:p w:rsidR="00F04F2E" w:rsidRDefault="00794F3C">
      <w:pPr>
        <w:pStyle w:val="NormalWeb"/>
        <w:rPr>
          <w:rFonts w:ascii="Arial" w:hAnsi="Arial" w:cs="Arial"/>
        </w:rPr>
      </w:pPr>
      <w:r>
        <w:rPr>
          <w:rFonts w:ascii="Arial" w:hAnsi="Arial" w:cs="Arial"/>
        </w:rPr>
        <w:lastRenderedPageBreak/>
        <w:t>Adopted: February 7, 2017</w:t>
      </w:r>
    </w:p>
    <w:p w:rsidR="00F04F2E" w:rsidRDefault="00794F3C">
      <w:pPr>
        <w:pStyle w:val="NormalWeb"/>
        <w:spacing w:before="750" w:beforeAutospacing="0"/>
        <w:jc w:val="center"/>
        <w:rPr>
          <w:rFonts w:ascii="Arial" w:hAnsi="Arial" w:cs="Arial"/>
          <w:b/>
          <w:color w:val="800000"/>
        </w:rPr>
      </w:pPr>
      <w:r>
        <w:rPr>
          <w:rFonts w:ascii="Arial" w:hAnsi="Arial" w:cs="Arial"/>
          <w:b/>
          <w:color w:val="800000"/>
        </w:rPr>
        <w:t>Edenton-Chowan Schools</w:t>
      </w:r>
    </w:p>
    <w:sectPr w:rsidR="00F04F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2E"/>
    <w:rsid w:val="002E1588"/>
    <w:rsid w:val="00794F3C"/>
    <w:rsid w:val="00F0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8090"/>
  <w15:docId w15:val="{C3D8172C-2957-47E3-A69C-974DEB3A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66CC"/>
      <w:u w:val="single" w:color="0000FF"/>
    </w:r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4&amp;spec=32" TargetMode="External"/><Relationship Id="rId13" Type="http://schemas.openxmlformats.org/officeDocument/2006/relationships/hyperlink" Target="http://redirector.microscribepub.com/?cat=stat&amp;loc=nc&amp;id=14&amp;spec=69.1" TargetMode="External"/><Relationship Id="rId18" Type="http://schemas.openxmlformats.org/officeDocument/2006/relationships/hyperlink" Target="http://redirector.microscribepub.com/?cat=stat&amp;loc=nc&amp;id=14&amp;spec=132.2" TargetMode="External"/><Relationship Id="rId26" Type="http://schemas.openxmlformats.org/officeDocument/2006/relationships/hyperlink" Target="http://redirector.microscribepub.com/?cat=stat&amp;loc=nc&amp;id=115C&amp;spec=288"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4&amp;spec=269.2" TargetMode="External"/><Relationship Id="rId7" Type="http://schemas.openxmlformats.org/officeDocument/2006/relationships/hyperlink" Target="http://redirector.microscribepub.com/?cat=stat&amp;loc=nc&amp;id=14&amp;spec" TargetMode="External"/><Relationship Id="rId12" Type="http://schemas.openxmlformats.org/officeDocument/2006/relationships/hyperlink" Target="http://redirector.microscribepub.com/?cat=stat&amp;loc=nc&amp;id=14&amp;spec=60" TargetMode="External"/><Relationship Id="rId17" Type="http://schemas.openxmlformats.org/officeDocument/2006/relationships/hyperlink" Target="http://redirector.microscribepub.com/?cat=stat&amp;loc=nc&amp;id=14&amp;spec=132" TargetMode="External"/><Relationship Id="rId25" Type="http://schemas.openxmlformats.org/officeDocument/2006/relationships/hyperlink" Target="http://redirector.microscribepub.com/?cat=stat&amp;loc=nc&amp;id=115C&amp;spec=276"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4&amp;spec=87.1" TargetMode="External"/><Relationship Id="rId20" Type="http://schemas.openxmlformats.org/officeDocument/2006/relationships/hyperlink" Target="http://redirector.microscribepub.com/?cat=stat&amp;loc=nc&amp;id=14&amp;spec=208.18" TargetMode="External"/><Relationship Id="rId29" Type="http://schemas.openxmlformats.org/officeDocument/2006/relationships/hyperlink" Target="http://redirector.microscribepub.com/?cat=stat&amp;loc=nc&amp;id=115C&amp;spec=390.2" TargetMode="External"/><Relationship Id="rId1" Type="http://schemas.openxmlformats.org/officeDocument/2006/relationships/styles" Target="styles.xml"/><Relationship Id="rId6" Type="http://schemas.openxmlformats.org/officeDocument/2006/relationships/hyperlink" Target="http://redirector.microscribepub.com/?cat=stat&amp;loc=nc&amp;id=14&amp;spec=18" TargetMode="External"/><Relationship Id="rId11" Type="http://schemas.openxmlformats.org/officeDocument/2006/relationships/hyperlink" Target="http://redirector.microscribepub.com/?cat=stat&amp;loc=nc&amp;id=14&amp;spec=41" TargetMode="External"/><Relationship Id="rId24" Type="http://schemas.openxmlformats.org/officeDocument/2006/relationships/hyperlink" Target="http://redirector.microscribepub.com/?cat=stat&amp;loc=nc&amp;id=115C&amp;spec=47" TargetMode="External"/><Relationship Id="rId32" Type="http://schemas.openxmlformats.org/officeDocument/2006/relationships/theme" Target="theme/theme1.xml"/><Relationship Id="rId5" Type="http://schemas.openxmlformats.org/officeDocument/2006/relationships/hyperlink" Target="http://redirector.microscribepub.com/?cat=stat&amp;loc=nc&amp;id=14&amp;spec=17" TargetMode="External"/><Relationship Id="rId15" Type="http://schemas.openxmlformats.org/officeDocument/2006/relationships/hyperlink" Target="http://redirector.microscribepub.com/?cat=stat&amp;loc=nc&amp;id=14&amp;spec=87" TargetMode="External"/><Relationship Id="rId23" Type="http://schemas.openxmlformats.org/officeDocument/2006/relationships/hyperlink" Target="http://redirector.microscribepub.com/?cat=stat&amp;loc=nc&amp;id=90&amp;spec=A5" TargetMode="External"/><Relationship Id="rId28" Type="http://schemas.openxmlformats.org/officeDocument/2006/relationships/hyperlink" Target="http://redirector.microscribepub.com/?cat=stat&amp;loc=nc&amp;id=115C&amp;spec=390.1" TargetMode="External"/><Relationship Id="rId10" Type="http://schemas.openxmlformats.org/officeDocument/2006/relationships/hyperlink" Target="http://redirector.microscribepub.com/?cat=stat&amp;loc=nc&amp;id=14&amp;spec" TargetMode="External"/><Relationship Id="rId19" Type="http://schemas.openxmlformats.org/officeDocument/2006/relationships/hyperlink" Target="http://redirector.microscribepub.com/?cat=stat&amp;loc=nc&amp;id=14&amp;spec=202.2" TargetMode="External"/><Relationship Id="rId31" Type="http://schemas.openxmlformats.org/officeDocument/2006/relationships/fontTable" Target="fontTable.xml"/><Relationship Id="rId4" Type="http://schemas.openxmlformats.org/officeDocument/2006/relationships/hyperlink" Target="http://policy.microscribepub.com/redirector/?loc=us&amp;cat=usc&amp;id=20-7961" TargetMode="External"/><Relationship Id="rId9" Type="http://schemas.openxmlformats.org/officeDocument/2006/relationships/hyperlink" Target="http://redirector.microscribepub.com/?cat=stat&amp;loc=nc&amp;id=14&amp;spec=33" TargetMode="External"/><Relationship Id="rId14" Type="http://schemas.openxmlformats.org/officeDocument/2006/relationships/hyperlink" Target="http://redirector.microscribepub.com/?cat=stat&amp;loc=nc&amp;id=14&amp;spec=69.2" TargetMode="External"/><Relationship Id="rId22" Type="http://schemas.openxmlformats.org/officeDocument/2006/relationships/hyperlink" Target="http://redirector.microscribepub.com/?cat=stat&amp;loc=nc&amp;id=14&amp;spec=277.5" TargetMode="External"/><Relationship Id="rId27" Type="http://schemas.openxmlformats.org/officeDocument/2006/relationships/hyperlink" Target="http://redirector.microscribepub.com/?cat=stat&amp;loc=nc&amp;id=115C&amp;spec=307" TargetMode="External"/><Relationship Id="rId30" Type="http://schemas.openxmlformats.org/officeDocument/2006/relationships/hyperlink" Target="http://redirector.microscribepub.com/?cat=stat&amp;loc=nc&amp;id=115C&amp;spec=390.10"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rjackson</dc:creator>
  <cp:lastModifiedBy>rjackson</cp:lastModifiedBy>
  <cp:revision>3</cp:revision>
  <dcterms:created xsi:type="dcterms:W3CDTF">2018-12-04T17:42:00Z</dcterms:created>
  <dcterms:modified xsi:type="dcterms:W3CDTF">2018-12-04T17:43:00Z</dcterms:modified>
</cp:coreProperties>
</file>