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B1" w:rsidRPr="005D712C" w:rsidRDefault="005D712C" w:rsidP="005D712C">
      <w:pPr>
        <w:jc w:val="center"/>
        <w:rPr>
          <w:b/>
          <w:sz w:val="40"/>
          <w:szCs w:val="40"/>
        </w:rPr>
      </w:pPr>
      <w:r w:rsidRPr="005D712C">
        <w:rPr>
          <w:b/>
          <w:sz w:val="40"/>
          <w:szCs w:val="40"/>
        </w:rPr>
        <w:t>SELECTION OF 25% OF ELIGIBLE TEACHERS FOR A FOUR-YEAR CONTRACT</w:t>
      </w:r>
    </w:p>
    <w:p w:rsidR="000D5655" w:rsidRDefault="000D5655">
      <w:r>
        <w:t>The committee</w:t>
      </w:r>
      <w:r w:rsidR="00251143">
        <w:t>,</w:t>
      </w:r>
      <w:r>
        <w:t xml:space="preserve"> consisting the building principal</w:t>
      </w:r>
      <w:r w:rsidR="000B4C23">
        <w:t>s</w:t>
      </w:r>
      <w:r>
        <w:t xml:space="preserve"> and the members of the Teacher Advisory Committee</w:t>
      </w:r>
      <w:r w:rsidR="00251143">
        <w:t>,</w:t>
      </w:r>
      <w:r>
        <w:t xml:space="preserve"> met on December 9, 2013 to develop the criteria for the selection of 25% of eligible teachers to be offered a 4-year contract.</w:t>
      </w:r>
      <w:r w:rsidR="000B4C23">
        <w:t xml:space="preserve"> A review of various options was conducted to</w:t>
      </w:r>
      <w:r w:rsidR="006378F6">
        <w:t xml:space="preserve"> create </w:t>
      </w:r>
      <w:r w:rsidR="005F3446">
        <w:t xml:space="preserve">a process </w:t>
      </w:r>
      <w:r w:rsidR="006378F6">
        <w:t>to be presented to the Board of Education</w:t>
      </w:r>
      <w:r w:rsidR="00251143">
        <w:t xml:space="preserve"> for their approval</w:t>
      </w:r>
      <w:r w:rsidR="005F0EF9">
        <w:t xml:space="preserve"> on January 23, 2014</w:t>
      </w:r>
      <w:r w:rsidR="00251143">
        <w:t>. Dr. Smith emphasized the criteria should</w:t>
      </w:r>
      <w:r w:rsidR="000B4C23">
        <w:t xml:space="preserve">: (a) meet the provisions of the law; (b) </w:t>
      </w:r>
      <w:r w:rsidR="007A146E">
        <w:t>sh</w:t>
      </w:r>
      <w:r w:rsidR="005F3446">
        <w:t xml:space="preserve">ould be as </w:t>
      </w:r>
      <w:r w:rsidR="007A146E">
        <w:t>objective as possible; and (c) strive to</w:t>
      </w:r>
      <w:r w:rsidR="005F3446">
        <w:t xml:space="preserve"> minimize the negative impact of the requirements. It was the unanimous conclusion of the committee</w:t>
      </w:r>
      <w:r w:rsidR="006378F6">
        <w:t xml:space="preserve"> the provisions of Section 9.6(g) of the Appropriations Act of 2013 (SB 402) </w:t>
      </w:r>
      <w:r w:rsidR="00434BF5">
        <w:t>are</w:t>
      </w:r>
      <w:r w:rsidR="006378F6">
        <w:t xml:space="preserve"> inappropriate, demeaning to teachers,</w:t>
      </w:r>
      <w:r w:rsidR="00251143">
        <w:t xml:space="preserve"> may create a false illusion of teacher effectiveness, and </w:t>
      </w:r>
      <w:r w:rsidR="005F3446">
        <w:t xml:space="preserve"> </w:t>
      </w:r>
      <w:r w:rsidR="00251143">
        <w:t>has the potential of creating an ineffectual work environment. Following is a summary of the recommendations of the committee.</w:t>
      </w:r>
    </w:p>
    <w:p w:rsidR="00251143" w:rsidRPr="00501295" w:rsidRDefault="00251143" w:rsidP="00501295">
      <w:pPr>
        <w:spacing w:after="0"/>
        <w:rPr>
          <w:b/>
        </w:rPr>
      </w:pPr>
      <w:r w:rsidRPr="00501295">
        <w:rPr>
          <w:b/>
        </w:rPr>
        <w:t>MEMBERS PRESENT</w:t>
      </w:r>
      <w:r w:rsidR="00501295">
        <w:rPr>
          <w:b/>
        </w:rPr>
        <w:t>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3060"/>
        <w:gridCol w:w="2808"/>
      </w:tblGrid>
      <w:tr w:rsidR="00501295" w:rsidRPr="00501295" w:rsidTr="00501295">
        <w:tc>
          <w:tcPr>
            <w:tcW w:w="3708" w:type="dxa"/>
          </w:tcPr>
          <w:p w:rsidR="00501295" w:rsidRPr="00501295" w:rsidRDefault="00501295" w:rsidP="00501295">
            <w:pPr>
              <w:jc w:val="center"/>
              <w:rPr>
                <w:i/>
              </w:rPr>
            </w:pPr>
            <w:r w:rsidRPr="00501295">
              <w:rPr>
                <w:i/>
              </w:rPr>
              <w:t>COMMITTEE MEMBER</w:t>
            </w:r>
          </w:p>
        </w:tc>
        <w:tc>
          <w:tcPr>
            <w:tcW w:w="3060" w:type="dxa"/>
          </w:tcPr>
          <w:p w:rsidR="00501295" w:rsidRPr="00501295" w:rsidRDefault="00501295" w:rsidP="00501295">
            <w:pPr>
              <w:jc w:val="center"/>
            </w:pPr>
            <w:r w:rsidRPr="00501295">
              <w:t>SCHOOL</w:t>
            </w:r>
          </w:p>
        </w:tc>
        <w:tc>
          <w:tcPr>
            <w:tcW w:w="2808" w:type="dxa"/>
          </w:tcPr>
          <w:p w:rsidR="00501295" w:rsidRPr="00501295" w:rsidRDefault="00501295" w:rsidP="00501295">
            <w:pPr>
              <w:jc w:val="center"/>
            </w:pPr>
            <w:r w:rsidRPr="00501295">
              <w:t>POSITION</w:t>
            </w:r>
          </w:p>
        </w:tc>
      </w:tr>
      <w:tr w:rsidR="00501295" w:rsidTr="00501295">
        <w:tc>
          <w:tcPr>
            <w:tcW w:w="3708" w:type="dxa"/>
          </w:tcPr>
          <w:p w:rsidR="00501295" w:rsidRPr="00501295" w:rsidRDefault="00501295">
            <w:pPr>
              <w:rPr>
                <w:i/>
              </w:rPr>
            </w:pPr>
            <w:r w:rsidRPr="00501295">
              <w:rPr>
                <w:i/>
              </w:rPr>
              <w:t>Baker, Olinka (for Sheila Evans)</w:t>
            </w:r>
          </w:p>
        </w:tc>
        <w:tc>
          <w:tcPr>
            <w:tcW w:w="3060" w:type="dxa"/>
          </w:tcPr>
          <w:p w:rsidR="00501295" w:rsidRDefault="00501295">
            <w:r>
              <w:t>John A. Holmes</w:t>
            </w:r>
          </w:p>
        </w:tc>
        <w:tc>
          <w:tcPr>
            <w:tcW w:w="2808" w:type="dxa"/>
          </w:tcPr>
          <w:p w:rsidR="00501295" w:rsidRDefault="00501295">
            <w:r>
              <w:t>Assistant Principal</w:t>
            </w:r>
          </w:p>
        </w:tc>
      </w:tr>
      <w:tr w:rsidR="00501295" w:rsidTr="00501295">
        <w:tc>
          <w:tcPr>
            <w:tcW w:w="3708" w:type="dxa"/>
          </w:tcPr>
          <w:p w:rsidR="00501295" w:rsidRPr="00501295" w:rsidRDefault="00501295">
            <w:pPr>
              <w:rPr>
                <w:i/>
              </w:rPr>
            </w:pPr>
            <w:r w:rsidRPr="00501295">
              <w:rPr>
                <w:i/>
              </w:rPr>
              <w:t>Bowers, Jamie</w:t>
            </w:r>
          </w:p>
        </w:tc>
        <w:tc>
          <w:tcPr>
            <w:tcW w:w="3060" w:type="dxa"/>
          </w:tcPr>
          <w:p w:rsidR="00501295" w:rsidRDefault="00501295">
            <w:r>
              <w:t>D. F. Walker</w:t>
            </w:r>
          </w:p>
        </w:tc>
        <w:tc>
          <w:tcPr>
            <w:tcW w:w="2808" w:type="dxa"/>
          </w:tcPr>
          <w:p w:rsidR="00501295" w:rsidRDefault="00501295">
            <w:r>
              <w:t>Principal</w:t>
            </w:r>
          </w:p>
        </w:tc>
      </w:tr>
      <w:tr w:rsidR="00501295" w:rsidTr="00501295">
        <w:tc>
          <w:tcPr>
            <w:tcW w:w="3708" w:type="dxa"/>
          </w:tcPr>
          <w:p w:rsidR="00501295" w:rsidRPr="00501295" w:rsidRDefault="00501295">
            <w:pPr>
              <w:rPr>
                <w:i/>
              </w:rPr>
            </w:pPr>
            <w:r w:rsidRPr="00501295">
              <w:rPr>
                <w:i/>
              </w:rPr>
              <w:t>Byrum, Sarah</w:t>
            </w:r>
          </w:p>
        </w:tc>
        <w:tc>
          <w:tcPr>
            <w:tcW w:w="3060" w:type="dxa"/>
          </w:tcPr>
          <w:p w:rsidR="00501295" w:rsidRDefault="00501295">
            <w:r>
              <w:t>John A. Holmes</w:t>
            </w:r>
          </w:p>
        </w:tc>
        <w:tc>
          <w:tcPr>
            <w:tcW w:w="2808" w:type="dxa"/>
          </w:tcPr>
          <w:p w:rsidR="00501295" w:rsidRDefault="00501295">
            <w:r>
              <w:t>Classroom Teacher</w:t>
            </w:r>
          </w:p>
        </w:tc>
      </w:tr>
      <w:tr w:rsidR="00501295" w:rsidTr="00501295">
        <w:tc>
          <w:tcPr>
            <w:tcW w:w="3708" w:type="dxa"/>
          </w:tcPr>
          <w:p w:rsidR="00501295" w:rsidRPr="00501295" w:rsidRDefault="00501295">
            <w:pPr>
              <w:rPr>
                <w:i/>
              </w:rPr>
            </w:pPr>
            <w:r w:rsidRPr="00501295">
              <w:rPr>
                <w:i/>
              </w:rPr>
              <w:t>Heiniger, Nancy</w:t>
            </w:r>
          </w:p>
        </w:tc>
        <w:tc>
          <w:tcPr>
            <w:tcW w:w="3060" w:type="dxa"/>
          </w:tcPr>
          <w:p w:rsidR="00501295" w:rsidRDefault="00501295">
            <w:r>
              <w:t>D. F. Walker</w:t>
            </w:r>
          </w:p>
        </w:tc>
        <w:tc>
          <w:tcPr>
            <w:tcW w:w="2808" w:type="dxa"/>
          </w:tcPr>
          <w:p w:rsidR="00501295" w:rsidRDefault="00501295">
            <w:r>
              <w:t>Media Specialist</w:t>
            </w:r>
          </w:p>
        </w:tc>
      </w:tr>
      <w:tr w:rsidR="00501295" w:rsidTr="00501295">
        <w:tc>
          <w:tcPr>
            <w:tcW w:w="3708" w:type="dxa"/>
          </w:tcPr>
          <w:p w:rsidR="00501295" w:rsidRPr="00501295" w:rsidRDefault="00501295">
            <w:pPr>
              <w:rPr>
                <w:i/>
              </w:rPr>
            </w:pPr>
            <w:r w:rsidRPr="00501295">
              <w:rPr>
                <w:i/>
              </w:rPr>
              <w:t>Leary, Emily</w:t>
            </w:r>
          </w:p>
        </w:tc>
        <w:tc>
          <w:tcPr>
            <w:tcW w:w="3060" w:type="dxa"/>
          </w:tcPr>
          <w:p w:rsidR="00501295" w:rsidRDefault="00501295">
            <w:r>
              <w:t>White Oak</w:t>
            </w:r>
          </w:p>
        </w:tc>
        <w:tc>
          <w:tcPr>
            <w:tcW w:w="2808" w:type="dxa"/>
          </w:tcPr>
          <w:p w:rsidR="00501295" w:rsidRDefault="00501295">
            <w:r>
              <w:t>Classroom Teacher</w:t>
            </w:r>
          </w:p>
        </w:tc>
      </w:tr>
      <w:tr w:rsidR="00501295" w:rsidTr="00501295">
        <w:tc>
          <w:tcPr>
            <w:tcW w:w="3708" w:type="dxa"/>
          </w:tcPr>
          <w:p w:rsidR="00501295" w:rsidRPr="00501295" w:rsidRDefault="00501295">
            <w:pPr>
              <w:rPr>
                <w:i/>
              </w:rPr>
            </w:pPr>
            <w:r w:rsidRPr="00501295">
              <w:rPr>
                <w:i/>
              </w:rPr>
              <w:t>Maddox, Michelle</w:t>
            </w:r>
          </w:p>
        </w:tc>
        <w:tc>
          <w:tcPr>
            <w:tcW w:w="3060" w:type="dxa"/>
          </w:tcPr>
          <w:p w:rsidR="00501295" w:rsidRDefault="00501295">
            <w:r>
              <w:t>Central Office</w:t>
            </w:r>
          </w:p>
        </w:tc>
        <w:tc>
          <w:tcPr>
            <w:tcW w:w="2808" w:type="dxa"/>
          </w:tcPr>
          <w:p w:rsidR="00501295" w:rsidRDefault="00501295">
            <w:r>
              <w:t>H.R. Director</w:t>
            </w:r>
          </w:p>
        </w:tc>
      </w:tr>
      <w:tr w:rsidR="00501295" w:rsidTr="00501295">
        <w:tc>
          <w:tcPr>
            <w:tcW w:w="3708" w:type="dxa"/>
          </w:tcPr>
          <w:p w:rsidR="00501295" w:rsidRPr="00501295" w:rsidRDefault="00501295">
            <w:pPr>
              <w:rPr>
                <w:i/>
              </w:rPr>
            </w:pPr>
            <w:r w:rsidRPr="00501295">
              <w:rPr>
                <w:i/>
              </w:rPr>
              <w:t>Self, Mike (for Gloria Horton)</w:t>
            </w:r>
          </w:p>
        </w:tc>
        <w:tc>
          <w:tcPr>
            <w:tcW w:w="3060" w:type="dxa"/>
          </w:tcPr>
          <w:p w:rsidR="00501295" w:rsidRDefault="00501295">
            <w:r>
              <w:t>Chowan Middle</w:t>
            </w:r>
          </w:p>
        </w:tc>
        <w:tc>
          <w:tcPr>
            <w:tcW w:w="2808" w:type="dxa"/>
          </w:tcPr>
          <w:p w:rsidR="00501295" w:rsidRDefault="00501295">
            <w:r>
              <w:t>Band Director</w:t>
            </w:r>
          </w:p>
        </w:tc>
      </w:tr>
      <w:tr w:rsidR="00501295" w:rsidTr="00501295">
        <w:tc>
          <w:tcPr>
            <w:tcW w:w="3708" w:type="dxa"/>
          </w:tcPr>
          <w:p w:rsidR="00501295" w:rsidRPr="00501295" w:rsidRDefault="00501295">
            <w:pPr>
              <w:rPr>
                <w:i/>
              </w:rPr>
            </w:pPr>
            <w:r w:rsidRPr="00501295">
              <w:rPr>
                <w:i/>
              </w:rPr>
              <w:t>Smith, Allan</w:t>
            </w:r>
          </w:p>
        </w:tc>
        <w:tc>
          <w:tcPr>
            <w:tcW w:w="3060" w:type="dxa"/>
          </w:tcPr>
          <w:p w:rsidR="00501295" w:rsidRDefault="00501295">
            <w:r>
              <w:t>Central Office</w:t>
            </w:r>
          </w:p>
        </w:tc>
        <w:tc>
          <w:tcPr>
            <w:tcW w:w="2808" w:type="dxa"/>
          </w:tcPr>
          <w:p w:rsidR="00501295" w:rsidRDefault="00501295">
            <w:r>
              <w:t>Superintendent</w:t>
            </w:r>
          </w:p>
        </w:tc>
      </w:tr>
      <w:tr w:rsidR="00501295" w:rsidTr="00501295">
        <w:tc>
          <w:tcPr>
            <w:tcW w:w="3708" w:type="dxa"/>
          </w:tcPr>
          <w:p w:rsidR="00501295" w:rsidRPr="00501295" w:rsidRDefault="00501295">
            <w:pPr>
              <w:rPr>
                <w:i/>
              </w:rPr>
            </w:pPr>
            <w:r w:rsidRPr="00501295">
              <w:rPr>
                <w:i/>
              </w:rPr>
              <w:t>Turner, Tanya</w:t>
            </w:r>
          </w:p>
        </w:tc>
        <w:tc>
          <w:tcPr>
            <w:tcW w:w="3060" w:type="dxa"/>
          </w:tcPr>
          <w:p w:rsidR="00501295" w:rsidRDefault="00501295">
            <w:r>
              <w:t>Chowan Middle</w:t>
            </w:r>
          </w:p>
        </w:tc>
        <w:tc>
          <w:tcPr>
            <w:tcW w:w="2808" w:type="dxa"/>
          </w:tcPr>
          <w:p w:rsidR="00501295" w:rsidRDefault="00501295">
            <w:r>
              <w:t>Principal</w:t>
            </w:r>
          </w:p>
        </w:tc>
      </w:tr>
      <w:tr w:rsidR="00501295" w:rsidTr="00501295">
        <w:tc>
          <w:tcPr>
            <w:tcW w:w="3708" w:type="dxa"/>
          </w:tcPr>
          <w:p w:rsidR="00501295" w:rsidRPr="00501295" w:rsidRDefault="00501295">
            <w:pPr>
              <w:rPr>
                <w:i/>
              </w:rPr>
            </w:pPr>
            <w:r w:rsidRPr="00501295">
              <w:rPr>
                <w:i/>
              </w:rPr>
              <w:t>White, Michelle</w:t>
            </w:r>
          </w:p>
        </w:tc>
        <w:tc>
          <w:tcPr>
            <w:tcW w:w="3060" w:type="dxa"/>
          </w:tcPr>
          <w:p w:rsidR="00501295" w:rsidRDefault="00501295">
            <w:r>
              <w:t>White Oak</w:t>
            </w:r>
          </w:p>
        </w:tc>
        <w:tc>
          <w:tcPr>
            <w:tcW w:w="2808" w:type="dxa"/>
          </w:tcPr>
          <w:p w:rsidR="00501295" w:rsidRDefault="00501295">
            <w:r>
              <w:t>Principal</w:t>
            </w:r>
          </w:p>
        </w:tc>
      </w:tr>
    </w:tbl>
    <w:p w:rsidR="00251143" w:rsidRDefault="00251143"/>
    <w:p w:rsidR="00444C37" w:rsidRDefault="007E517F" w:rsidP="00444C37">
      <w:pPr>
        <w:spacing w:after="0"/>
      </w:pPr>
      <w:r>
        <w:rPr>
          <w:b/>
        </w:rPr>
        <w:t xml:space="preserve">DETERMINING THE POOL OF </w:t>
      </w:r>
      <w:r w:rsidR="00501295" w:rsidRPr="00444C37">
        <w:rPr>
          <w:b/>
        </w:rPr>
        <w:t>ELIGIBLE TEACHERS:</w:t>
      </w:r>
      <w:r w:rsidR="00501295">
        <w:t xml:space="preserve"> </w:t>
      </w:r>
      <w:r>
        <w:t xml:space="preserve">The number of teachers meeting the following two criteria will be multiplied by 25% </w:t>
      </w:r>
      <w:r w:rsidR="007A146E">
        <w:t xml:space="preserve">to calculate </w:t>
      </w:r>
      <w:r>
        <w:t>how many teachers will be offered a 4-year contract.</w:t>
      </w:r>
    </w:p>
    <w:p w:rsidR="007E517F" w:rsidRDefault="007E517F" w:rsidP="00444C37">
      <w:pPr>
        <w:spacing w:after="0"/>
      </w:pPr>
    </w:p>
    <w:p w:rsidR="00501295" w:rsidRDefault="00444C37">
      <w:r>
        <w:tab/>
      </w:r>
      <w:r w:rsidRPr="001622FA">
        <w:rPr>
          <w:i/>
          <w:u w:val="single"/>
        </w:rPr>
        <w:t>TEACHER DEFINED:</w:t>
      </w:r>
      <w:r>
        <w:t xml:space="preserve"> </w:t>
      </w:r>
      <w:r w:rsidR="00501295">
        <w:t>Anyone considered as a "Teacher</w:t>
      </w:r>
      <w:r>
        <w:t xml:space="preserve">" under the broad </w:t>
      </w:r>
      <w:r>
        <w:tab/>
        <w:t xml:space="preserve">definition as either a classroom teacher or instructional support personnel as </w:t>
      </w:r>
      <w:r>
        <w:tab/>
        <w:t>described in G.S. 115C-325(a)(6).</w:t>
      </w:r>
      <w:r w:rsidR="00501295">
        <w:t xml:space="preserve"> </w:t>
      </w:r>
    </w:p>
    <w:p w:rsidR="00444C37" w:rsidRDefault="00444C37">
      <w:r>
        <w:tab/>
      </w:r>
      <w:r w:rsidRPr="001622FA">
        <w:rPr>
          <w:i/>
          <w:u w:val="single"/>
        </w:rPr>
        <w:t>THREE CONSECUTIVE YEARS:</w:t>
      </w:r>
      <w:r>
        <w:t xml:space="preserve"> Teacher must be employed in a full-time </w:t>
      </w:r>
      <w:r>
        <w:tab/>
        <w:t xml:space="preserve">position for at least 3 consecutive years as of September 1, 2013. That is, </w:t>
      </w:r>
      <w:r>
        <w:tab/>
        <w:t xml:space="preserve">employed by Edenton-Chowan Schools for the 2010-2011, 2011-2012, and </w:t>
      </w:r>
      <w:r>
        <w:tab/>
        <w:t>2012-2013 school years.</w:t>
      </w:r>
      <w:r w:rsidR="007E517F">
        <w:t xml:space="preserve"> </w:t>
      </w:r>
    </w:p>
    <w:p w:rsidR="007E517F" w:rsidRDefault="007E517F"/>
    <w:p w:rsidR="007E517F" w:rsidRDefault="007E517F">
      <w:pPr>
        <w:rPr>
          <w:b/>
        </w:rPr>
      </w:pPr>
      <w:r w:rsidRPr="007A146E">
        <w:rPr>
          <w:b/>
        </w:rPr>
        <w:t xml:space="preserve">SELECTING THE 25% OF ELIGIBLE TEACHERS: </w:t>
      </w:r>
    </w:p>
    <w:p w:rsidR="00A17B6F" w:rsidRPr="00A17B6F" w:rsidRDefault="001622FA" w:rsidP="00DB5673">
      <w:pPr>
        <w:ind w:left="720"/>
      </w:pPr>
      <w:r w:rsidRPr="001622FA">
        <w:rPr>
          <w:i/>
          <w:u w:val="single"/>
        </w:rPr>
        <w:t>SELECTION BY SCHOOL:</w:t>
      </w:r>
      <w:r>
        <w:t xml:space="preserve"> </w:t>
      </w:r>
      <w:r w:rsidR="00A17B6F">
        <w:t xml:space="preserve"> A total of </w:t>
      </w:r>
      <w:r>
        <w:t xml:space="preserve">25% of eligible teachers </w:t>
      </w:r>
      <w:r w:rsidR="00A17B6F">
        <w:t xml:space="preserve">throughout the school system will be offered a 4-year contract. The selection will be made on a school level basis as 25% of eligible teachers at </w:t>
      </w:r>
      <w:r>
        <w:t xml:space="preserve">each school will be offered a contract. </w:t>
      </w:r>
      <w:r w:rsidR="00A17B6F">
        <w:t xml:space="preserve">Due to mathematical rounding there will be a remainder of  available slots. </w:t>
      </w:r>
      <w:r w:rsidR="00A17B6F" w:rsidRPr="00A17B6F">
        <w:t>The Superintendent will fill the remaining “at-large” slots by recommending the highest rated teachers in the district who were not otherwise selected.</w:t>
      </w:r>
    </w:p>
    <w:p w:rsidR="007A146E" w:rsidRDefault="007E517F">
      <w:r>
        <w:tab/>
      </w:r>
      <w:r w:rsidRPr="001622FA">
        <w:rPr>
          <w:i/>
          <w:u w:val="single"/>
        </w:rPr>
        <w:t>SELECTION CRITERIA:</w:t>
      </w:r>
      <w:r>
        <w:t xml:space="preserve"> Selection will be based on </w:t>
      </w:r>
      <w:r w:rsidR="00E807E5">
        <w:t xml:space="preserve">a ranking of </w:t>
      </w:r>
      <w:r w:rsidR="007A146E">
        <w:t xml:space="preserve">the summative </w:t>
      </w:r>
      <w:r w:rsidR="007A146E">
        <w:tab/>
      </w:r>
      <w:r w:rsidR="00E807E5">
        <w:t xml:space="preserve">ratings on the teacher evaluation instrument </w:t>
      </w:r>
      <w:r w:rsidR="007A146E">
        <w:t>for the previous two years (2011-</w:t>
      </w:r>
      <w:r w:rsidR="007A146E">
        <w:tab/>
        <w:t>2012 &amp; 2012-2013)</w:t>
      </w:r>
      <w:r w:rsidR="00E807E5">
        <w:t>.</w:t>
      </w:r>
      <w:r w:rsidR="007A146E">
        <w:t xml:space="preserve"> </w:t>
      </w:r>
      <w:r w:rsidR="00E807E5">
        <w:t xml:space="preserve">A point value will be assigned to the rating on Standards 1-5 </w:t>
      </w:r>
      <w:r w:rsidR="007A146E">
        <w:tab/>
      </w:r>
      <w:r w:rsidR="00E807E5">
        <w:t>of the teacher evaluation instrument to derive an overall score.</w:t>
      </w:r>
      <w:r w:rsidR="007A146E">
        <w:t xml:space="preserve"> </w:t>
      </w:r>
    </w:p>
    <w:p w:rsidR="0004057A" w:rsidRDefault="0004057A">
      <w:r>
        <w:tab/>
      </w:r>
      <w:r w:rsidR="001622FA" w:rsidRPr="001622FA">
        <w:rPr>
          <w:i/>
          <w:u w:val="single"/>
        </w:rPr>
        <w:t>FINAL LIST FOR SELECTION OF TEACHERS:</w:t>
      </w:r>
      <w:r w:rsidR="001622FA">
        <w:t xml:space="preserve"> </w:t>
      </w:r>
      <w:r>
        <w:t xml:space="preserve">The Superintendent will strike </w:t>
      </w:r>
      <w:r w:rsidR="001622FA">
        <w:tab/>
      </w:r>
      <w:r>
        <w:t>from the list individuals who do not want to b</w:t>
      </w:r>
      <w:r w:rsidR="001622FA">
        <w:t>e considered for a contract</w:t>
      </w:r>
      <w:r w:rsidR="005F0EF9">
        <w:t xml:space="preserve"> as </w:t>
      </w:r>
      <w:r w:rsidR="005F0EF9">
        <w:tab/>
        <w:t>indicated through an "opt-in/opt-out" process</w:t>
      </w:r>
      <w:r w:rsidR="001622FA">
        <w:t>; teachers</w:t>
      </w:r>
      <w:r w:rsidR="005F0EF9">
        <w:t xml:space="preserve"> </w:t>
      </w:r>
      <w:r w:rsidR="001622FA">
        <w:t xml:space="preserve">who have submitted a </w:t>
      </w:r>
      <w:r w:rsidR="005F0EF9">
        <w:tab/>
      </w:r>
      <w:r w:rsidR="001622FA">
        <w:t xml:space="preserve">letter of resignation or retirement; individuals who have a standard rating of less </w:t>
      </w:r>
      <w:r w:rsidR="005F0EF9">
        <w:tab/>
      </w:r>
      <w:r w:rsidR="001622FA">
        <w:t>than proficient and/or have documented performance</w:t>
      </w:r>
      <w:r w:rsidR="005F0EF9">
        <w:t xml:space="preserve"> </w:t>
      </w:r>
      <w:r w:rsidR="001622FA">
        <w:t xml:space="preserve">concerns </w:t>
      </w:r>
      <w:r w:rsidR="005F0EF9">
        <w:t>since 20</w:t>
      </w:r>
      <w:r w:rsidR="00127ECE">
        <w:t>1</w:t>
      </w:r>
      <w:r w:rsidR="005F0EF9">
        <w:t>1-2012</w:t>
      </w:r>
      <w:r w:rsidR="001622FA">
        <w:t>.</w:t>
      </w:r>
    </w:p>
    <w:p w:rsidR="007E517F" w:rsidRDefault="007A146E">
      <w:r>
        <w:tab/>
      </w:r>
      <w:r w:rsidRPr="001622FA">
        <w:rPr>
          <w:u w:val="single"/>
        </w:rPr>
        <w:t>TIE-BREAKERS:</w:t>
      </w:r>
      <w:r>
        <w:t xml:space="preserve"> In the event of a tie, a series of tie-breakers will be </w:t>
      </w:r>
      <w:r w:rsidR="001622FA">
        <w:tab/>
      </w:r>
      <w:r>
        <w:t>implemented</w:t>
      </w:r>
      <w:r w:rsidR="0061632C">
        <w:t xml:space="preserve"> in the following sequence</w:t>
      </w:r>
      <w:r>
        <w:t>: (1st</w:t>
      </w:r>
      <w:r w:rsidR="0061632C">
        <w:t xml:space="preserve"> tie-breaker</w:t>
      </w:r>
      <w:r>
        <w:t xml:space="preserve">) highest ratings on </w:t>
      </w:r>
      <w:r w:rsidR="0061632C">
        <w:tab/>
      </w:r>
      <w:r>
        <w:t xml:space="preserve">Standards 1-5 for the 2012-2013; </w:t>
      </w:r>
      <w:r w:rsidR="0061632C">
        <w:t>(</w:t>
      </w:r>
      <w:r>
        <w:t>2nd</w:t>
      </w:r>
      <w:r w:rsidR="0061632C">
        <w:t xml:space="preserve"> tie-breaker</w:t>
      </w:r>
      <w:r>
        <w:t xml:space="preserve">) </w:t>
      </w:r>
      <w:r w:rsidR="0004057A">
        <w:t xml:space="preserve">highest ratings </w:t>
      </w:r>
      <w:r w:rsidR="00434BF5">
        <w:t xml:space="preserve">of the </w:t>
      </w:r>
      <w:r w:rsidR="0061632C">
        <w:tab/>
      </w:r>
      <w:r w:rsidR="00434BF5">
        <w:t>elements on Standards 1-5</w:t>
      </w:r>
      <w:r w:rsidR="0004057A">
        <w:t xml:space="preserve"> for </w:t>
      </w:r>
      <w:r w:rsidR="005F0EF9">
        <w:t xml:space="preserve">2012-2013. If tie is still unbroken, compute the </w:t>
      </w:r>
      <w:r w:rsidR="005F0EF9">
        <w:tab/>
        <w:t>teachers' ratings score based on the elements from the 2011-2012 evaluation</w:t>
      </w:r>
      <w:r w:rsidR="0004057A">
        <w:t xml:space="preserve">; </w:t>
      </w:r>
      <w:r w:rsidR="005F0EF9">
        <w:tab/>
      </w:r>
      <w:r w:rsidR="0004057A">
        <w:t>(3rd</w:t>
      </w:r>
      <w:r w:rsidR="0061632C">
        <w:t xml:space="preserve"> tie-breaker</w:t>
      </w:r>
      <w:r w:rsidR="0004057A">
        <w:t>) highest</w:t>
      </w:r>
      <w:r w:rsidR="005F0EF9">
        <w:t xml:space="preserve"> </w:t>
      </w:r>
      <w:r w:rsidR="0004057A">
        <w:t>rating of the elements on Standard</w:t>
      </w:r>
      <w:r w:rsidR="00434BF5">
        <w:t>s 1-5</w:t>
      </w:r>
      <w:r w:rsidR="0004057A">
        <w:t xml:space="preserve"> for the 2012-</w:t>
      </w:r>
      <w:r w:rsidR="005F0EF9">
        <w:tab/>
      </w:r>
      <w:r w:rsidR="0004057A">
        <w:t>2013 year only; and (4th</w:t>
      </w:r>
      <w:r w:rsidR="0061632C">
        <w:t xml:space="preserve"> tie-breaker</w:t>
      </w:r>
      <w:r w:rsidR="0004057A">
        <w:t xml:space="preserve">) in the unlikely event the tie still not broken, </w:t>
      </w:r>
      <w:r w:rsidR="00A56958">
        <w:tab/>
        <w:t xml:space="preserve">the Superintendent shall break the tie based on </w:t>
      </w:r>
      <w:r w:rsidR="0004057A">
        <w:t>longest service</w:t>
      </w:r>
      <w:r w:rsidR="0061632C">
        <w:t xml:space="preserve"> </w:t>
      </w:r>
      <w:r w:rsidR="0004057A">
        <w:t>with Edenton-</w:t>
      </w:r>
      <w:r w:rsidR="00A56958">
        <w:tab/>
      </w:r>
      <w:r w:rsidR="0004057A">
        <w:t xml:space="preserve">Chowan Schools. </w:t>
      </w:r>
      <w:r>
        <w:t xml:space="preserve"> </w:t>
      </w:r>
      <w:r w:rsidR="007E517F">
        <w:tab/>
      </w:r>
    </w:p>
    <w:p w:rsidR="00444C37" w:rsidRDefault="007A146E">
      <w:r>
        <w:tab/>
      </w:r>
      <w:r w:rsidR="00444C37">
        <w:tab/>
      </w:r>
    </w:p>
    <w:p w:rsidR="00444C37" w:rsidRDefault="00444C37"/>
    <w:p w:rsidR="00540F5A" w:rsidRDefault="00540F5A"/>
    <w:sectPr w:rsidR="00540F5A" w:rsidSect="009E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2450"/>
    <w:multiLevelType w:val="hybridMultilevel"/>
    <w:tmpl w:val="10362CF6"/>
    <w:lvl w:ilvl="0" w:tplc="2472A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E8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00E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CA9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EC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6D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A8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66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382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20"/>
  <w:characterSpacingControl w:val="doNotCompress"/>
  <w:compat/>
  <w:rsids>
    <w:rsidRoot w:val="00540F5A"/>
    <w:rsid w:val="0004057A"/>
    <w:rsid w:val="000B4C23"/>
    <w:rsid w:val="000D5655"/>
    <w:rsid w:val="00116AE8"/>
    <w:rsid w:val="00127ECE"/>
    <w:rsid w:val="001622FA"/>
    <w:rsid w:val="00251143"/>
    <w:rsid w:val="003A62C3"/>
    <w:rsid w:val="00434BF5"/>
    <w:rsid w:val="00442B80"/>
    <w:rsid w:val="00444C37"/>
    <w:rsid w:val="0047224C"/>
    <w:rsid w:val="004F5D36"/>
    <w:rsid w:val="00501295"/>
    <w:rsid w:val="00520BF0"/>
    <w:rsid w:val="00540F5A"/>
    <w:rsid w:val="00556F54"/>
    <w:rsid w:val="005D712C"/>
    <w:rsid w:val="005F0EF9"/>
    <w:rsid w:val="005F3446"/>
    <w:rsid w:val="0061632C"/>
    <w:rsid w:val="006378F6"/>
    <w:rsid w:val="00697B2C"/>
    <w:rsid w:val="007A146E"/>
    <w:rsid w:val="007C64CD"/>
    <w:rsid w:val="007E517F"/>
    <w:rsid w:val="009E12B1"/>
    <w:rsid w:val="00A17B6F"/>
    <w:rsid w:val="00A56958"/>
    <w:rsid w:val="00B240E0"/>
    <w:rsid w:val="00CA33AD"/>
    <w:rsid w:val="00CC6238"/>
    <w:rsid w:val="00DB5673"/>
    <w:rsid w:val="00DE4CFA"/>
    <w:rsid w:val="00E807E5"/>
    <w:rsid w:val="00EC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AD"/>
  </w:style>
  <w:style w:type="paragraph" w:styleId="Heading1">
    <w:name w:val="heading 1"/>
    <w:basedOn w:val="Normal"/>
    <w:next w:val="Normal"/>
    <w:link w:val="Heading1Char"/>
    <w:uiPriority w:val="9"/>
    <w:qFormat/>
    <w:rsid w:val="00CA33A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3A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3A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3A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3A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3A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3A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3A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3A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3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33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3A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3A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3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3A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3A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3A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3A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3A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33A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3A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3AD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CA33A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A33AD"/>
    <w:rPr>
      <w:b/>
      <w:bCs/>
    </w:rPr>
  </w:style>
  <w:style w:type="character" w:styleId="Emphasis">
    <w:name w:val="Emphasis"/>
    <w:uiPriority w:val="20"/>
    <w:qFormat/>
    <w:rsid w:val="00CA33A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A33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33AD"/>
    <w:pPr>
      <w:spacing w:before="200" w:after="0"/>
      <w:ind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A33A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3A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3AD"/>
    <w:rPr>
      <w:b/>
      <w:bCs/>
      <w:i/>
      <w:iCs/>
    </w:rPr>
  </w:style>
  <w:style w:type="character" w:styleId="SubtleEmphasis">
    <w:name w:val="Subtle Emphasis"/>
    <w:uiPriority w:val="19"/>
    <w:qFormat/>
    <w:rsid w:val="00CA33AD"/>
    <w:rPr>
      <w:i/>
      <w:iCs/>
    </w:rPr>
  </w:style>
  <w:style w:type="character" w:styleId="IntenseEmphasis">
    <w:name w:val="Intense Emphasis"/>
    <w:uiPriority w:val="21"/>
    <w:qFormat/>
    <w:rsid w:val="00CA33AD"/>
    <w:rPr>
      <w:b/>
      <w:bCs/>
    </w:rPr>
  </w:style>
  <w:style w:type="character" w:styleId="SubtleReference">
    <w:name w:val="Subtle Reference"/>
    <w:uiPriority w:val="31"/>
    <w:qFormat/>
    <w:rsid w:val="00CA33AD"/>
    <w:rPr>
      <w:smallCaps/>
    </w:rPr>
  </w:style>
  <w:style w:type="character" w:styleId="IntenseReference">
    <w:name w:val="Intense Reference"/>
    <w:uiPriority w:val="32"/>
    <w:qFormat/>
    <w:rsid w:val="00CA33AD"/>
    <w:rPr>
      <w:smallCaps/>
      <w:spacing w:val="5"/>
      <w:u w:val="single"/>
    </w:rPr>
  </w:style>
  <w:style w:type="character" w:styleId="BookTitle">
    <w:name w:val="Book Title"/>
    <w:uiPriority w:val="33"/>
    <w:qFormat/>
    <w:rsid w:val="00CA33A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3AD"/>
    <w:pPr>
      <w:outlineLvl w:val="9"/>
    </w:pPr>
  </w:style>
  <w:style w:type="table" w:styleId="TableGrid">
    <w:name w:val="Table Grid"/>
    <w:basedOn w:val="TableNormal"/>
    <w:uiPriority w:val="59"/>
    <w:rsid w:val="00501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1952-2C82-44D4-B267-0FFE5460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Baker</cp:lastModifiedBy>
  <cp:revision>2</cp:revision>
  <cp:lastPrinted>2013-12-13T13:23:00Z</cp:lastPrinted>
  <dcterms:created xsi:type="dcterms:W3CDTF">2014-03-31T20:09:00Z</dcterms:created>
  <dcterms:modified xsi:type="dcterms:W3CDTF">2014-03-31T20:09:00Z</dcterms:modified>
</cp:coreProperties>
</file>